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4064C910" w14:textId="77777777" w:rsidTr="00D74AE1">
        <w:trPr>
          <w:trHeight w:hRule="exact" w:val="2948"/>
        </w:trPr>
        <w:tc>
          <w:tcPr>
            <w:tcW w:w="11185" w:type="dxa"/>
            <w:vAlign w:val="center"/>
          </w:tcPr>
          <w:p w14:paraId="29306378" w14:textId="77777777" w:rsidR="00974E99" w:rsidRPr="00974E99" w:rsidRDefault="00974E99" w:rsidP="00E21A27">
            <w:pPr>
              <w:pStyle w:val="Documenttype"/>
            </w:pPr>
            <w:bookmarkStart w:id="0" w:name="_GoBack" w:colFirst="0" w:colLast="0"/>
            <w:r w:rsidRPr="00974E99">
              <w:t>I</w:t>
            </w:r>
            <w:bookmarkStart w:id="1" w:name="_Ref446317644"/>
            <w:bookmarkEnd w:id="1"/>
            <w:r w:rsidRPr="00974E99">
              <w:t xml:space="preserve">ALA </w:t>
            </w:r>
            <w:r w:rsidR="0093492E">
              <w:t>G</w:t>
            </w:r>
            <w:r w:rsidR="00722236">
              <w:t>uideline</w:t>
            </w:r>
          </w:p>
        </w:tc>
      </w:tr>
      <w:bookmarkEnd w:id="0"/>
    </w:tbl>
    <w:p w14:paraId="758235D0" w14:textId="77777777" w:rsidR="008972C3" w:rsidRDefault="008972C3" w:rsidP="003274DB"/>
    <w:p w14:paraId="1F5765F3" w14:textId="77777777" w:rsidR="00D74AE1" w:rsidRDefault="00D74AE1" w:rsidP="003274DB"/>
    <w:p w14:paraId="76EED8A4" w14:textId="77777777" w:rsidR="0093492E" w:rsidRDefault="0026038D" w:rsidP="0026038D">
      <w:pPr>
        <w:pStyle w:val="Documentnumber"/>
      </w:pPr>
      <w:proofErr w:type="gramStart"/>
      <w:r w:rsidRPr="00614F57">
        <w:rPr>
          <w:highlight w:val="yellow"/>
        </w:rPr>
        <w:t>1</w:t>
      </w:r>
      <w:r w:rsidR="00614F57" w:rsidRPr="00614F57">
        <w:rPr>
          <w:highlight w:val="yellow"/>
        </w:rPr>
        <w:t>???</w:t>
      </w:r>
      <w:proofErr w:type="gramEnd"/>
    </w:p>
    <w:p w14:paraId="43FA02B7" w14:textId="77777777" w:rsidR="0026038D" w:rsidRDefault="0026038D" w:rsidP="003274DB"/>
    <w:p w14:paraId="6946F920" w14:textId="77777777" w:rsidR="00776004" w:rsidRPr="00614F57" w:rsidRDefault="00614F57" w:rsidP="00614F57">
      <w:pPr>
        <w:pStyle w:val="Documentname"/>
      </w:pPr>
      <w:r w:rsidRPr="00614F57">
        <w:t>Marine beacon coverage prediction</w:t>
      </w:r>
    </w:p>
    <w:p w14:paraId="62D027E0" w14:textId="77777777" w:rsidR="00CF49CC" w:rsidRDefault="00CF49CC" w:rsidP="00D74AE1"/>
    <w:p w14:paraId="6696A1C0" w14:textId="77777777" w:rsidR="004E0BBB" w:rsidRDefault="004E0BBB" w:rsidP="00D74AE1"/>
    <w:p w14:paraId="3BC839BD" w14:textId="77777777" w:rsidR="004E0BBB" w:rsidRDefault="004E0BBB" w:rsidP="00D74AE1"/>
    <w:p w14:paraId="0B5BCC39" w14:textId="77777777" w:rsidR="004E0BBB" w:rsidRDefault="004E0BBB" w:rsidP="00D74AE1"/>
    <w:p w14:paraId="5BB661E6" w14:textId="77777777" w:rsidR="004E0BBB" w:rsidRDefault="004E0BBB" w:rsidP="00D74AE1"/>
    <w:p w14:paraId="7ED6A16C" w14:textId="77777777" w:rsidR="004E0BBB" w:rsidRDefault="004E0BBB" w:rsidP="00D74AE1"/>
    <w:p w14:paraId="0AFBA985" w14:textId="77777777" w:rsidR="004E0BBB" w:rsidRDefault="004E0BBB" w:rsidP="00D74AE1"/>
    <w:p w14:paraId="73A2FB66" w14:textId="77777777" w:rsidR="004E0BBB" w:rsidRDefault="004E0BBB" w:rsidP="00D74AE1"/>
    <w:p w14:paraId="4E937F13" w14:textId="77777777" w:rsidR="004E0BBB" w:rsidRDefault="004E0BBB" w:rsidP="00D74AE1"/>
    <w:p w14:paraId="0B7EE208" w14:textId="77777777" w:rsidR="004E0BBB" w:rsidRDefault="004E0BBB" w:rsidP="00D74AE1"/>
    <w:p w14:paraId="1DB2167D" w14:textId="77777777" w:rsidR="004E0BBB" w:rsidRDefault="004E0BBB" w:rsidP="00D74AE1"/>
    <w:p w14:paraId="54157B1F" w14:textId="77777777" w:rsidR="004E0BBB" w:rsidRDefault="004E0BBB" w:rsidP="00D74AE1"/>
    <w:p w14:paraId="57213990" w14:textId="77777777" w:rsidR="004E0BBB" w:rsidRDefault="004E0BBB" w:rsidP="00D74AE1"/>
    <w:p w14:paraId="30AA3955" w14:textId="77777777" w:rsidR="004E0BBB" w:rsidRDefault="004E0BBB" w:rsidP="00D74AE1"/>
    <w:p w14:paraId="0D663A90" w14:textId="77777777" w:rsidR="004E0BBB" w:rsidRDefault="004E0BBB" w:rsidP="00D74AE1"/>
    <w:p w14:paraId="25E16122" w14:textId="77777777" w:rsidR="004E0BBB" w:rsidRDefault="004E0BBB" w:rsidP="00D74AE1"/>
    <w:p w14:paraId="52581F61" w14:textId="77777777" w:rsidR="004E0BBB" w:rsidRDefault="004E0BBB" w:rsidP="00D74AE1"/>
    <w:p w14:paraId="19B8B7C3" w14:textId="77777777" w:rsidR="00734BC6" w:rsidRDefault="00734BC6" w:rsidP="00D74AE1"/>
    <w:p w14:paraId="5E6E806A" w14:textId="77777777" w:rsidR="004E0BBB" w:rsidRDefault="004E0BBB" w:rsidP="00D74AE1"/>
    <w:p w14:paraId="504154C6" w14:textId="77777777" w:rsidR="004E0BBB" w:rsidRDefault="004E0BBB" w:rsidP="00D74AE1"/>
    <w:p w14:paraId="755E09D7" w14:textId="77777777" w:rsidR="004E0BBB" w:rsidRDefault="004E0BBB" w:rsidP="00D74AE1"/>
    <w:p w14:paraId="33AC7C1C" w14:textId="77777777" w:rsidR="004E0BBB" w:rsidRDefault="004E0BBB" w:rsidP="00D74AE1"/>
    <w:p w14:paraId="7B221383" w14:textId="77777777" w:rsidR="004E0BBB" w:rsidRDefault="004E0BBB" w:rsidP="00D74AE1"/>
    <w:p w14:paraId="65538485" w14:textId="77777777" w:rsidR="004E0BBB" w:rsidRDefault="004E0BBB" w:rsidP="00D74AE1"/>
    <w:p w14:paraId="500FCCF0" w14:textId="77777777" w:rsidR="004E0BBB" w:rsidRDefault="004E0BBB" w:rsidP="00D74AE1"/>
    <w:p w14:paraId="0935FF3D" w14:textId="77777777" w:rsidR="004E0BBB" w:rsidRDefault="004E0BBB" w:rsidP="00D74AE1"/>
    <w:p w14:paraId="778D77C9" w14:textId="77777777" w:rsidR="004E0BBB" w:rsidRDefault="004E0BBB" w:rsidP="004E0BBB">
      <w:pPr>
        <w:pStyle w:val="Editionnumber"/>
      </w:pPr>
      <w:r>
        <w:lastRenderedPageBreak/>
        <w:t>Edition 1.0</w:t>
      </w:r>
      <w:r w:rsidR="00777ADC">
        <w:t xml:space="preserve"> </w:t>
      </w:r>
      <w:commentRangeStart w:id="2"/>
      <w:r w:rsidR="00777ADC" w:rsidRPr="00777ADC">
        <w:rPr>
          <w:color w:val="FF0000"/>
        </w:rPr>
        <w:t>(Draft)</w:t>
      </w:r>
      <w:commentRangeEnd w:id="2"/>
      <w:r w:rsidR="009B7C20">
        <w:rPr>
          <w:rStyle w:val="CommentReference"/>
          <w:b w:val="0"/>
          <w:color w:val="auto"/>
        </w:rPr>
        <w:commentReference w:id="2"/>
      </w:r>
    </w:p>
    <w:p w14:paraId="093955CE" w14:textId="77777777" w:rsidR="004E0BBB" w:rsidRDefault="00600C2B" w:rsidP="004E0BBB">
      <w:pPr>
        <w:pStyle w:val="Documentdate"/>
      </w:pPr>
      <w:r>
        <w:t xml:space="preserve">Document </w:t>
      </w:r>
      <w:commentRangeStart w:id="3"/>
      <w:r>
        <w:t>date</w:t>
      </w:r>
      <w:commentRangeEnd w:id="3"/>
      <w:r>
        <w:rPr>
          <w:rStyle w:val="CommentReference"/>
          <w:b w:val="0"/>
          <w:color w:val="auto"/>
        </w:rPr>
        <w:commentReference w:id="3"/>
      </w:r>
    </w:p>
    <w:p w14:paraId="779D7602" w14:textId="77777777" w:rsidR="00BC27F6" w:rsidRDefault="00BC27F6" w:rsidP="00D74AE1">
      <w:pPr>
        <w:sectPr w:rsidR="00BC27F6" w:rsidSect="007E30DF">
          <w:headerReference w:type="even" r:id="rId10"/>
          <w:headerReference w:type="default" r:id="rId11"/>
          <w:footerReference w:type="even" r:id="rId12"/>
          <w:footerReference w:type="default" r:id="rId13"/>
          <w:headerReference w:type="first" r:id="rId14"/>
          <w:footerReference w:type="first" r:id="rId15"/>
          <w:type w:val="continuous"/>
          <w:pgSz w:w="11906" w:h="16838" w:code="9"/>
          <w:pgMar w:top="567" w:right="1276" w:bottom="2495" w:left="1276" w:header="567" w:footer="567" w:gutter="0"/>
          <w:cols w:space="708"/>
          <w:docGrid w:linePitch="360"/>
        </w:sectPr>
      </w:pPr>
    </w:p>
    <w:p w14:paraId="6EC51113"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0E6EE926" w14:textId="77777777" w:rsidTr="005E4659">
        <w:tc>
          <w:tcPr>
            <w:tcW w:w="1908" w:type="dxa"/>
          </w:tcPr>
          <w:p w14:paraId="192D0AE7" w14:textId="77777777" w:rsidR="00914E26" w:rsidRPr="00460028" w:rsidRDefault="00914E26" w:rsidP="00414698">
            <w:pPr>
              <w:pStyle w:val="Tableheading"/>
            </w:pPr>
            <w:r w:rsidRPr="00460028">
              <w:t>Date</w:t>
            </w:r>
          </w:p>
        </w:tc>
        <w:tc>
          <w:tcPr>
            <w:tcW w:w="3576" w:type="dxa"/>
          </w:tcPr>
          <w:p w14:paraId="70080347" w14:textId="77777777" w:rsidR="00914E26" w:rsidRPr="00460028" w:rsidRDefault="00914E26" w:rsidP="00414698">
            <w:pPr>
              <w:pStyle w:val="Tableheading"/>
            </w:pPr>
            <w:r w:rsidRPr="00460028">
              <w:t>Page / Section Revised</w:t>
            </w:r>
          </w:p>
        </w:tc>
        <w:tc>
          <w:tcPr>
            <w:tcW w:w="5001" w:type="dxa"/>
          </w:tcPr>
          <w:p w14:paraId="7E729FF1" w14:textId="77777777" w:rsidR="00914E26" w:rsidRPr="00460028" w:rsidRDefault="00914E26" w:rsidP="00414698">
            <w:pPr>
              <w:pStyle w:val="Tableheading"/>
            </w:pPr>
            <w:r w:rsidRPr="00460028">
              <w:t>Requirement for Revision</w:t>
            </w:r>
          </w:p>
        </w:tc>
      </w:tr>
      <w:tr w:rsidR="005E4659" w:rsidRPr="00460028" w14:paraId="7F91FCCA" w14:textId="77777777" w:rsidTr="005E4659">
        <w:trPr>
          <w:trHeight w:val="851"/>
        </w:trPr>
        <w:tc>
          <w:tcPr>
            <w:tcW w:w="1908" w:type="dxa"/>
            <w:vAlign w:val="center"/>
          </w:tcPr>
          <w:p w14:paraId="4FF30F60" w14:textId="77777777" w:rsidR="00914E26" w:rsidRPr="00C27E08" w:rsidRDefault="00914E26" w:rsidP="00914E26">
            <w:pPr>
              <w:pStyle w:val="Tabletext"/>
            </w:pPr>
          </w:p>
        </w:tc>
        <w:tc>
          <w:tcPr>
            <w:tcW w:w="3576" w:type="dxa"/>
            <w:vAlign w:val="center"/>
          </w:tcPr>
          <w:p w14:paraId="3AA1B509" w14:textId="77777777" w:rsidR="00914E26" w:rsidRPr="00C27E08" w:rsidRDefault="00914E26" w:rsidP="00914E26">
            <w:pPr>
              <w:pStyle w:val="Tabletext"/>
            </w:pPr>
          </w:p>
        </w:tc>
        <w:tc>
          <w:tcPr>
            <w:tcW w:w="5001" w:type="dxa"/>
            <w:vAlign w:val="center"/>
          </w:tcPr>
          <w:p w14:paraId="68AAE7F8" w14:textId="77777777" w:rsidR="00914E26" w:rsidRPr="00460028" w:rsidRDefault="00914E26" w:rsidP="00914E26">
            <w:pPr>
              <w:pStyle w:val="Tabletext"/>
            </w:pPr>
          </w:p>
        </w:tc>
      </w:tr>
      <w:tr w:rsidR="005E4659" w:rsidRPr="00460028" w14:paraId="737C95F9" w14:textId="77777777" w:rsidTr="005E4659">
        <w:trPr>
          <w:trHeight w:val="851"/>
        </w:trPr>
        <w:tc>
          <w:tcPr>
            <w:tcW w:w="1908" w:type="dxa"/>
            <w:vAlign w:val="center"/>
          </w:tcPr>
          <w:p w14:paraId="1E9BE093" w14:textId="77777777" w:rsidR="00914E26" w:rsidRPr="00460028" w:rsidRDefault="00914E26" w:rsidP="00914E26">
            <w:pPr>
              <w:pStyle w:val="Tabletext"/>
            </w:pPr>
          </w:p>
        </w:tc>
        <w:tc>
          <w:tcPr>
            <w:tcW w:w="3576" w:type="dxa"/>
            <w:vAlign w:val="center"/>
          </w:tcPr>
          <w:p w14:paraId="5D031F5F" w14:textId="77777777" w:rsidR="00914E26" w:rsidRPr="00460028" w:rsidRDefault="00914E26" w:rsidP="00914E26">
            <w:pPr>
              <w:pStyle w:val="Tabletext"/>
            </w:pPr>
          </w:p>
        </w:tc>
        <w:tc>
          <w:tcPr>
            <w:tcW w:w="5001" w:type="dxa"/>
            <w:vAlign w:val="center"/>
          </w:tcPr>
          <w:p w14:paraId="5BD773A6" w14:textId="77777777" w:rsidR="00914E26" w:rsidRPr="00460028" w:rsidRDefault="00914E26" w:rsidP="00914E26">
            <w:pPr>
              <w:pStyle w:val="Tabletext"/>
            </w:pPr>
          </w:p>
        </w:tc>
      </w:tr>
      <w:tr w:rsidR="005E4659" w:rsidRPr="00460028" w14:paraId="62B9817C" w14:textId="77777777" w:rsidTr="005E4659">
        <w:trPr>
          <w:trHeight w:val="851"/>
        </w:trPr>
        <w:tc>
          <w:tcPr>
            <w:tcW w:w="1908" w:type="dxa"/>
            <w:vAlign w:val="center"/>
          </w:tcPr>
          <w:p w14:paraId="0D92562A" w14:textId="77777777" w:rsidR="00914E26" w:rsidRPr="00460028" w:rsidRDefault="00914E26" w:rsidP="00914E26">
            <w:pPr>
              <w:pStyle w:val="Tabletext"/>
            </w:pPr>
          </w:p>
        </w:tc>
        <w:tc>
          <w:tcPr>
            <w:tcW w:w="3576" w:type="dxa"/>
            <w:vAlign w:val="center"/>
          </w:tcPr>
          <w:p w14:paraId="42004187" w14:textId="77777777" w:rsidR="00914E26" w:rsidRPr="00460028" w:rsidRDefault="00914E26" w:rsidP="00914E26">
            <w:pPr>
              <w:pStyle w:val="Tabletext"/>
            </w:pPr>
          </w:p>
        </w:tc>
        <w:tc>
          <w:tcPr>
            <w:tcW w:w="5001" w:type="dxa"/>
            <w:vAlign w:val="center"/>
          </w:tcPr>
          <w:p w14:paraId="1EDEC1B2" w14:textId="77777777" w:rsidR="00914E26" w:rsidRPr="00460028" w:rsidRDefault="00914E26" w:rsidP="00914E26">
            <w:pPr>
              <w:pStyle w:val="Tabletext"/>
            </w:pPr>
          </w:p>
        </w:tc>
      </w:tr>
      <w:tr w:rsidR="005E4659" w:rsidRPr="00460028" w14:paraId="720DCBF4" w14:textId="77777777" w:rsidTr="005E4659">
        <w:trPr>
          <w:trHeight w:val="851"/>
        </w:trPr>
        <w:tc>
          <w:tcPr>
            <w:tcW w:w="1908" w:type="dxa"/>
            <w:vAlign w:val="center"/>
          </w:tcPr>
          <w:p w14:paraId="01A95841" w14:textId="77777777" w:rsidR="00914E26" w:rsidRPr="00460028" w:rsidRDefault="00914E26" w:rsidP="00914E26">
            <w:pPr>
              <w:pStyle w:val="Tabletext"/>
            </w:pPr>
          </w:p>
        </w:tc>
        <w:tc>
          <w:tcPr>
            <w:tcW w:w="3576" w:type="dxa"/>
            <w:vAlign w:val="center"/>
          </w:tcPr>
          <w:p w14:paraId="58AB5FCC" w14:textId="77777777" w:rsidR="00914E26" w:rsidRPr="00460028" w:rsidRDefault="00914E26" w:rsidP="00914E26">
            <w:pPr>
              <w:pStyle w:val="Tabletext"/>
            </w:pPr>
          </w:p>
        </w:tc>
        <w:tc>
          <w:tcPr>
            <w:tcW w:w="5001" w:type="dxa"/>
            <w:vAlign w:val="center"/>
          </w:tcPr>
          <w:p w14:paraId="4186F911" w14:textId="77777777" w:rsidR="00914E26" w:rsidRPr="00460028" w:rsidRDefault="00914E26" w:rsidP="00914E26">
            <w:pPr>
              <w:pStyle w:val="Tabletext"/>
            </w:pPr>
          </w:p>
        </w:tc>
      </w:tr>
      <w:tr w:rsidR="005E4659" w:rsidRPr="00460028" w14:paraId="4D4009AF" w14:textId="77777777" w:rsidTr="005E4659">
        <w:trPr>
          <w:trHeight w:val="851"/>
        </w:trPr>
        <w:tc>
          <w:tcPr>
            <w:tcW w:w="1908" w:type="dxa"/>
            <w:vAlign w:val="center"/>
          </w:tcPr>
          <w:p w14:paraId="1656341F" w14:textId="77777777" w:rsidR="00914E26" w:rsidRPr="00460028" w:rsidRDefault="00914E26" w:rsidP="00914E26">
            <w:pPr>
              <w:pStyle w:val="Tabletext"/>
            </w:pPr>
          </w:p>
        </w:tc>
        <w:tc>
          <w:tcPr>
            <w:tcW w:w="3576" w:type="dxa"/>
            <w:vAlign w:val="center"/>
          </w:tcPr>
          <w:p w14:paraId="041A5312" w14:textId="77777777" w:rsidR="00914E26" w:rsidRPr="00460028" w:rsidRDefault="00914E26" w:rsidP="00914E26">
            <w:pPr>
              <w:pStyle w:val="Tabletext"/>
            </w:pPr>
          </w:p>
        </w:tc>
        <w:tc>
          <w:tcPr>
            <w:tcW w:w="5001" w:type="dxa"/>
            <w:vAlign w:val="center"/>
          </w:tcPr>
          <w:p w14:paraId="00F189CC" w14:textId="77777777" w:rsidR="00914E26" w:rsidRPr="00460028" w:rsidRDefault="00914E26" w:rsidP="00914E26">
            <w:pPr>
              <w:pStyle w:val="Tabletext"/>
            </w:pPr>
          </w:p>
        </w:tc>
      </w:tr>
      <w:tr w:rsidR="005E4659" w:rsidRPr="00460028" w14:paraId="3C2A7E14" w14:textId="77777777" w:rsidTr="005E4659">
        <w:trPr>
          <w:trHeight w:val="851"/>
        </w:trPr>
        <w:tc>
          <w:tcPr>
            <w:tcW w:w="1908" w:type="dxa"/>
            <w:vAlign w:val="center"/>
          </w:tcPr>
          <w:p w14:paraId="2CC06FB8" w14:textId="77777777" w:rsidR="00914E26" w:rsidRPr="00460028" w:rsidRDefault="00914E26" w:rsidP="00914E26">
            <w:pPr>
              <w:pStyle w:val="Tabletext"/>
            </w:pPr>
          </w:p>
        </w:tc>
        <w:tc>
          <w:tcPr>
            <w:tcW w:w="3576" w:type="dxa"/>
            <w:vAlign w:val="center"/>
          </w:tcPr>
          <w:p w14:paraId="6D8AAF6C" w14:textId="77777777" w:rsidR="00914E26" w:rsidRPr="00460028" w:rsidRDefault="00914E26" w:rsidP="00914E26">
            <w:pPr>
              <w:pStyle w:val="Tabletext"/>
            </w:pPr>
          </w:p>
        </w:tc>
        <w:tc>
          <w:tcPr>
            <w:tcW w:w="5001" w:type="dxa"/>
            <w:vAlign w:val="center"/>
          </w:tcPr>
          <w:p w14:paraId="7C78AA4E" w14:textId="77777777" w:rsidR="00914E26" w:rsidRPr="00460028" w:rsidRDefault="00914E26" w:rsidP="00914E26">
            <w:pPr>
              <w:pStyle w:val="Tabletext"/>
            </w:pPr>
          </w:p>
        </w:tc>
      </w:tr>
      <w:tr w:rsidR="005E4659" w:rsidRPr="00460028" w14:paraId="595F3664" w14:textId="77777777" w:rsidTr="005E4659">
        <w:trPr>
          <w:trHeight w:val="851"/>
        </w:trPr>
        <w:tc>
          <w:tcPr>
            <w:tcW w:w="1908" w:type="dxa"/>
            <w:vAlign w:val="center"/>
          </w:tcPr>
          <w:p w14:paraId="453395F7" w14:textId="77777777" w:rsidR="00914E26" w:rsidRPr="00460028" w:rsidRDefault="00914E26" w:rsidP="00914E26">
            <w:pPr>
              <w:pStyle w:val="Tabletext"/>
            </w:pPr>
          </w:p>
        </w:tc>
        <w:tc>
          <w:tcPr>
            <w:tcW w:w="3576" w:type="dxa"/>
            <w:vAlign w:val="center"/>
          </w:tcPr>
          <w:p w14:paraId="670CF042" w14:textId="77777777" w:rsidR="00914E26" w:rsidRPr="00460028" w:rsidRDefault="00914E26" w:rsidP="00914E26">
            <w:pPr>
              <w:pStyle w:val="Tabletext"/>
            </w:pPr>
          </w:p>
        </w:tc>
        <w:tc>
          <w:tcPr>
            <w:tcW w:w="5001" w:type="dxa"/>
            <w:vAlign w:val="center"/>
          </w:tcPr>
          <w:p w14:paraId="7669F169" w14:textId="77777777" w:rsidR="00914E26" w:rsidRPr="00460028" w:rsidRDefault="00914E26" w:rsidP="00914E26">
            <w:pPr>
              <w:pStyle w:val="Tabletext"/>
            </w:pPr>
          </w:p>
        </w:tc>
      </w:tr>
    </w:tbl>
    <w:p w14:paraId="34B66DE0" w14:textId="77777777" w:rsidR="00914E26" w:rsidRDefault="00914E26" w:rsidP="00D74AE1"/>
    <w:p w14:paraId="55A1F228" w14:textId="77777777" w:rsidR="005E4659" w:rsidRDefault="005E4659" w:rsidP="00914E26">
      <w:pPr>
        <w:spacing w:after="200" w:line="276" w:lineRule="auto"/>
        <w:sectPr w:rsidR="005E4659" w:rsidSect="00C716E5">
          <w:headerReference w:type="even" r:id="rId16"/>
          <w:headerReference w:type="default" r:id="rId17"/>
          <w:footerReference w:type="default" r:id="rId18"/>
          <w:headerReference w:type="first" r:id="rId19"/>
          <w:pgSz w:w="11906" w:h="16838" w:code="9"/>
          <w:pgMar w:top="567" w:right="794" w:bottom="567" w:left="907" w:header="567" w:footer="850" w:gutter="0"/>
          <w:cols w:space="708"/>
          <w:docGrid w:linePitch="360"/>
        </w:sectPr>
      </w:pPr>
    </w:p>
    <w:p w14:paraId="4DA33940" w14:textId="77777777" w:rsidR="00940DA5" w:rsidRDefault="004A4EC4">
      <w:pPr>
        <w:pStyle w:val="TOC1"/>
        <w:rPr>
          <w:rFonts w:eastAsiaTheme="minorEastAsia"/>
          <w:b w:val="0"/>
          <w:color w:val="auto"/>
          <w:lang w:eastAsia="en-GB"/>
        </w:rPr>
      </w:pPr>
      <w:r>
        <w:rPr>
          <w:rFonts w:eastAsia="Times New Roman" w:cs="Times New Roman"/>
          <w:b w:val="0"/>
          <w:szCs w:val="20"/>
        </w:rPr>
        <w:lastRenderedPageBreak/>
        <w:fldChar w:fldCharType="begin"/>
      </w:r>
      <w:r>
        <w:rPr>
          <w:rFonts w:eastAsia="Times New Roman" w:cs="Times New Roman"/>
          <w:b w:val="0"/>
          <w:szCs w:val="20"/>
        </w:rPr>
        <w:instrText xml:space="preserve"> TOC \o "1-3" \t "Annex,4,Appendix,5" </w:instrText>
      </w:r>
      <w:r>
        <w:rPr>
          <w:rFonts w:eastAsia="Times New Roman" w:cs="Times New Roman"/>
          <w:b w:val="0"/>
          <w:szCs w:val="20"/>
        </w:rPr>
        <w:fldChar w:fldCharType="separate"/>
      </w:r>
      <w:r w:rsidR="00940DA5" w:rsidRPr="00B67161">
        <w:t>1.</w:t>
      </w:r>
      <w:r w:rsidR="00940DA5">
        <w:rPr>
          <w:rFonts w:eastAsiaTheme="minorEastAsia"/>
          <w:b w:val="0"/>
          <w:color w:val="auto"/>
          <w:lang w:eastAsia="en-GB"/>
        </w:rPr>
        <w:tab/>
      </w:r>
      <w:r w:rsidR="00940DA5">
        <w:t>INTRODUCTION</w:t>
      </w:r>
      <w:r w:rsidR="00940DA5">
        <w:tab/>
      </w:r>
      <w:r w:rsidR="00940DA5">
        <w:fldChar w:fldCharType="begin"/>
      </w:r>
      <w:r w:rsidR="00940DA5">
        <w:instrText xml:space="preserve"> PAGEREF _Toc462254349 \h </w:instrText>
      </w:r>
      <w:r w:rsidR="00940DA5">
        <w:fldChar w:fldCharType="separate"/>
      </w:r>
      <w:r w:rsidR="00940DA5">
        <w:t>6</w:t>
      </w:r>
      <w:r w:rsidR="00940DA5">
        <w:fldChar w:fldCharType="end"/>
      </w:r>
    </w:p>
    <w:p w14:paraId="09D81B87" w14:textId="77777777" w:rsidR="00940DA5" w:rsidRDefault="00940DA5">
      <w:pPr>
        <w:pStyle w:val="TOC1"/>
        <w:rPr>
          <w:rFonts w:eastAsiaTheme="minorEastAsia"/>
          <w:b w:val="0"/>
          <w:color w:val="auto"/>
          <w:lang w:eastAsia="en-GB"/>
        </w:rPr>
      </w:pPr>
      <w:r w:rsidRPr="00B67161">
        <w:t>2.</w:t>
      </w:r>
      <w:r>
        <w:rPr>
          <w:rFonts w:eastAsiaTheme="minorEastAsia"/>
          <w:b w:val="0"/>
          <w:color w:val="auto"/>
          <w:lang w:eastAsia="en-GB"/>
        </w:rPr>
        <w:tab/>
      </w:r>
      <w:r>
        <w:t>SCOPE</w:t>
      </w:r>
      <w:r>
        <w:tab/>
      </w:r>
      <w:r>
        <w:fldChar w:fldCharType="begin"/>
      </w:r>
      <w:r>
        <w:instrText xml:space="preserve"> PAGEREF _Toc462254350 \h </w:instrText>
      </w:r>
      <w:r>
        <w:fldChar w:fldCharType="separate"/>
      </w:r>
      <w:r>
        <w:t>6</w:t>
      </w:r>
      <w:r>
        <w:fldChar w:fldCharType="end"/>
      </w:r>
    </w:p>
    <w:p w14:paraId="42A4C443" w14:textId="77777777" w:rsidR="00940DA5" w:rsidRDefault="00940DA5">
      <w:pPr>
        <w:pStyle w:val="TOC1"/>
        <w:rPr>
          <w:rFonts w:eastAsiaTheme="minorEastAsia"/>
          <w:b w:val="0"/>
          <w:color w:val="auto"/>
          <w:lang w:eastAsia="en-GB"/>
        </w:rPr>
      </w:pPr>
      <w:r w:rsidRPr="00B67161">
        <w:t>3.</w:t>
      </w:r>
      <w:r>
        <w:rPr>
          <w:rFonts w:eastAsiaTheme="minorEastAsia"/>
          <w:b w:val="0"/>
          <w:color w:val="auto"/>
          <w:lang w:eastAsia="en-GB"/>
        </w:rPr>
        <w:tab/>
      </w:r>
      <w:r>
        <w:t>BACKGROUND</w:t>
      </w:r>
      <w:r>
        <w:tab/>
      </w:r>
      <w:r>
        <w:fldChar w:fldCharType="begin"/>
      </w:r>
      <w:r>
        <w:instrText xml:space="preserve"> PAGEREF _Toc462254351 \h </w:instrText>
      </w:r>
      <w:r>
        <w:fldChar w:fldCharType="separate"/>
      </w:r>
      <w:r>
        <w:t>6</w:t>
      </w:r>
      <w:r>
        <w:fldChar w:fldCharType="end"/>
      </w:r>
    </w:p>
    <w:p w14:paraId="460A1D59" w14:textId="77777777" w:rsidR="00940DA5" w:rsidRDefault="00940DA5">
      <w:pPr>
        <w:pStyle w:val="TOC2"/>
        <w:rPr>
          <w:rFonts w:eastAsiaTheme="minorEastAsia"/>
          <w:color w:val="auto"/>
          <w:lang w:eastAsia="en-GB"/>
        </w:rPr>
      </w:pPr>
      <w:r w:rsidRPr="00B67161">
        <w:t>3.1.</w:t>
      </w:r>
      <w:r>
        <w:rPr>
          <w:rFonts w:eastAsiaTheme="minorEastAsia"/>
          <w:color w:val="auto"/>
          <w:lang w:eastAsia="en-GB"/>
        </w:rPr>
        <w:tab/>
      </w:r>
      <w:r>
        <w:t>Groundwave propagation</w:t>
      </w:r>
      <w:r>
        <w:tab/>
      </w:r>
      <w:r>
        <w:fldChar w:fldCharType="begin"/>
      </w:r>
      <w:r>
        <w:instrText xml:space="preserve"> PAGEREF _Toc462254352 \h </w:instrText>
      </w:r>
      <w:r>
        <w:fldChar w:fldCharType="separate"/>
      </w:r>
      <w:r>
        <w:t>6</w:t>
      </w:r>
      <w:r>
        <w:fldChar w:fldCharType="end"/>
      </w:r>
    </w:p>
    <w:p w14:paraId="0D14C576" w14:textId="77777777" w:rsidR="00940DA5" w:rsidRDefault="00940DA5">
      <w:pPr>
        <w:pStyle w:val="TOC2"/>
        <w:rPr>
          <w:rFonts w:eastAsiaTheme="minorEastAsia"/>
          <w:color w:val="auto"/>
          <w:lang w:eastAsia="en-GB"/>
        </w:rPr>
      </w:pPr>
      <w:r w:rsidRPr="00B67161">
        <w:t>3.2.</w:t>
      </w:r>
      <w:r>
        <w:rPr>
          <w:rFonts w:eastAsiaTheme="minorEastAsia"/>
          <w:color w:val="auto"/>
          <w:lang w:eastAsia="en-GB"/>
        </w:rPr>
        <w:tab/>
      </w:r>
      <w:r>
        <w:t>Skywave propagation</w:t>
      </w:r>
      <w:r>
        <w:tab/>
      </w:r>
      <w:r>
        <w:fldChar w:fldCharType="begin"/>
      </w:r>
      <w:r>
        <w:instrText xml:space="preserve"> PAGEREF _Toc462254353 \h </w:instrText>
      </w:r>
      <w:r>
        <w:fldChar w:fldCharType="separate"/>
      </w:r>
      <w:r>
        <w:t>6</w:t>
      </w:r>
      <w:r>
        <w:fldChar w:fldCharType="end"/>
      </w:r>
    </w:p>
    <w:p w14:paraId="70E80972" w14:textId="77777777" w:rsidR="00940DA5" w:rsidRDefault="00940DA5">
      <w:pPr>
        <w:pStyle w:val="TOC2"/>
        <w:rPr>
          <w:rFonts w:eastAsiaTheme="minorEastAsia"/>
          <w:color w:val="auto"/>
          <w:lang w:eastAsia="en-GB"/>
        </w:rPr>
      </w:pPr>
      <w:r w:rsidRPr="00B67161">
        <w:t>3.3.</w:t>
      </w:r>
      <w:r>
        <w:rPr>
          <w:rFonts w:eastAsiaTheme="minorEastAsia"/>
          <w:color w:val="auto"/>
          <w:lang w:eastAsia="en-GB"/>
        </w:rPr>
        <w:tab/>
      </w:r>
      <w:r>
        <w:t>Self-fading</w:t>
      </w:r>
      <w:r>
        <w:tab/>
      </w:r>
      <w:r>
        <w:fldChar w:fldCharType="begin"/>
      </w:r>
      <w:r>
        <w:instrText xml:space="preserve"> PAGEREF _Toc462254354 \h </w:instrText>
      </w:r>
      <w:r>
        <w:fldChar w:fldCharType="separate"/>
      </w:r>
      <w:r>
        <w:t>7</w:t>
      </w:r>
      <w:r>
        <w:fldChar w:fldCharType="end"/>
      </w:r>
    </w:p>
    <w:p w14:paraId="10BF427E" w14:textId="77777777" w:rsidR="00940DA5" w:rsidRDefault="00940DA5">
      <w:pPr>
        <w:pStyle w:val="TOC2"/>
        <w:rPr>
          <w:rFonts w:eastAsiaTheme="minorEastAsia"/>
          <w:color w:val="auto"/>
          <w:lang w:eastAsia="en-GB"/>
        </w:rPr>
      </w:pPr>
      <w:r w:rsidRPr="00B67161">
        <w:t>3.4.</w:t>
      </w:r>
      <w:r>
        <w:rPr>
          <w:rFonts w:eastAsiaTheme="minorEastAsia"/>
          <w:color w:val="auto"/>
          <w:lang w:eastAsia="en-GB"/>
        </w:rPr>
        <w:tab/>
      </w:r>
      <w:r>
        <w:t>Atmospheric noise</w:t>
      </w:r>
      <w:r>
        <w:tab/>
      </w:r>
      <w:r>
        <w:fldChar w:fldCharType="begin"/>
      </w:r>
      <w:r>
        <w:instrText xml:space="preserve"> PAGEREF _Toc462254355 \h </w:instrText>
      </w:r>
      <w:r>
        <w:fldChar w:fldCharType="separate"/>
      </w:r>
      <w:r>
        <w:t>7</w:t>
      </w:r>
      <w:r>
        <w:fldChar w:fldCharType="end"/>
      </w:r>
    </w:p>
    <w:p w14:paraId="14669ACB" w14:textId="77777777" w:rsidR="00940DA5" w:rsidRDefault="00940DA5">
      <w:pPr>
        <w:pStyle w:val="TOC2"/>
        <w:rPr>
          <w:rFonts w:eastAsiaTheme="minorEastAsia"/>
          <w:color w:val="auto"/>
          <w:lang w:eastAsia="en-GB"/>
        </w:rPr>
      </w:pPr>
      <w:r w:rsidRPr="00B67161">
        <w:t>3.5.</w:t>
      </w:r>
      <w:r>
        <w:rPr>
          <w:rFonts w:eastAsiaTheme="minorEastAsia"/>
          <w:color w:val="auto"/>
          <w:lang w:eastAsia="en-GB"/>
        </w:rPr>
        <w:tab/>
      </w:r>
      <w:r>
        <w:t>Interference</w:t>
      </w:r>
      <w:r>
        <w:tab/>
      </w:r>
      <w:r>
        <w:fldChar w:fldCharType="begin"/>
      </w:r>
      <w:r>
        <w:instrText xml:space="preserve"> PAGEREF _Toc462254356 \h </w:instrText>
      </w:r>
      <w:r>
        <w:fldChar w:fldCharType="separate"/>
      </w:r>
      <w:r>
        <w:t>8</w:t>
      </w:r>
      <w:r>
        <w:fldChar w:fldCharType="end"/>
      </w:r>
    </w:p>
    <w:p w14:paraId="3F4D0802" w14:textId="77777777" w:rsidR="00940DA5" w:rsidRDefault="00940DA5">
      <w:pPr>
        <w:pStyle w:val="TOC1"/>
        <w:rPr>
          <w:rFonts w:eastAsiaTheme="minorEastAsia"/>
          <w:b w:val="0"/>
          <w:color w:val="auto"/>
          <w:lang w:eastAsia="en-GB"/>
        </w:rPr>
      </w:pPr>
      <w:r w:rsidRPr="00B67161">
        <w:t>4.</w:t>
      </w:r>
      <w:r>
        <w:rPr>
          <w:rFonts w:eastAsiaTheme="minorEastAsia"/>
          <w:b w:val="0"/>
          <w:color w:val="auto"/>
          <w:lang w:eastAsia="en-GB"/>
        </w:rPr>
        <w:tab/>
      </w:r>
      <w:r>
        <w:t>DEFINING THE COVERAGE AREA</w:t>
      </w:r>
      <w:r>
        <w:tab/>
      </w:r>
      <w:r>
        <w:fldChar w:fldCharType="begin"/>
      </w:r>
      <w:r>
        <w:instrText xml:space="preserve"> PAGEREF _Toc462254357 \h </w:instrText>
      </w:r>
      <w:r>
        <w:fldChar w:fldCharType="separate"/>
      </w:r>
      <w:r>
        <w:t>9</w:t>
      </w:r>
      <w:r>
        <w:fldChar w:fldCharType="end"/>
      </w:r>
    </w:p>
    <w:p w14:paraId="0938F94A" w14:textId="77777777" w:rsidR="00940DA5" w:rsidRDefault="00940DA5">
      <w:pPr>
        <w:pStyle w:val="TOC1"/>
        <w:rPr>
          <w:rFonts w:eastAsiaTheme="minorEastAsia"/>
          <w:b w:val="0"/>
          <w:color w:val="auto"/>
          <w:lang w:eastAsia="en-GB"/>
        </w:rPr>
      </w:pPr>
      <w:r w:rsidRPr="00B67161">
        <w:t>5.</w:t>
      </w:r>
      <w:r>
        <w:rPr>
          <w:rFonts w:eastAsiaTheme="minorEastAsia"/>
          <w:b w:val="0"/>
          <w:color w:val="auto"/>
          <w:lang w:eastAsia="en-GB"/>
        </w:rPr>
        <w:tab/>
      </w:r>
      <w:r>
        <w:t>EXAMPLE CALCULATION</w:t>
      </w:r>
      <w:r>
        <w:tab/>
      </w:r>
      <w:r>
        <w:fldChar w:fldCharType="begin"/>
      </w:r>
      <w:r>
        <w:instrText xml:space="preserve"> PAGEREF _Toc462254358 \h </w:instrText>
      </w:r>
      <w:r>
        <w:fldChar w:fldCharType="separate"/>
      </w:r>
      <w:r>
        <w:t>9</w:t>
      </w:r>
      <w:r>
        <w:fldChar w:fldCharType="end"/>
      </w:r>
    </w:p>
    <w:p w14:paraId="69C04713" w14:textId="77777777" w:rsidR="00940DA5" w:rsidRDefault="00940DA5">
      <w:pPr>
        <w:pStyle w:val="TOC2"/>
        <w:rPr>
          <w:rFonts w:eastAsiaTheme="minorEastAsia"/>
          <w:color w:val="auto"/>
          <w:lang w:eastAsia="en-GB"/>
        </w:rPr>
      </w:pPr>
      <w:r w:rsidRPr="00B67161">
        <w:t>5.1.</w:t>
      </w:r>
      <w:r>
        <w:rPr>
          <w:rFonts w:eastAsiaTheme="minorEastAsia"/>
          <w:color w:val="auto"/>
          <w:lang w:eastAsia="en-GB"/>
        </w:rPr>
        <w:tab/>
      </w:r>
      <w:r>
        <w:t>Groundwave signal strength calculation</w:t>
      </w:r>
      <w:r>
        <w:tab/>
      </w:r>
      <w:r>
        <w:fldChar w:fldCharType="begin"/>
      </w:r>
      <w:r>
        <w:instrText xml:space="preserve"> PAGEREF _Toc462254359 \h </w:instrText>
      </w:r>
      <w:r>
        <w:fldChar w:fldCharType="separate"/>
      </w:r>
      <w:r>
        <w:t>9</w:t>
      </w:r>
      <w:r>
        <w:fldChar w:fldCharType="end"/>
      </w:r>
    </w:p>
    <w:p w14:paraId="107390C7" w14:textId="77777777" w:rsidR="00940DA5" w:rsidRDefault="00940DA5">
      <w:pPr>
        <w:pStyle w:val="TOC2"/>
        <w:rPr>
          <w:rFonts w:eastAsiaTheme="minorEastAsia"/>
          <w:color w:val="auto"/>
          <w:lang w:eastAsia="en-GB"/>
        </w:rPr>
      </w:pPr>
      <w:r w:rsidRPr="00B67161">
        <w:t>5.2.</w:t>
      </w:r>
      <w:r>
        <w:rPr>
          <w:rFonts w:eastAsiaTheme="minorEastAsia"/>
          <w:color w:val="auto"/>
          <w:lang w:eastAsia="en-GB"/>
        </w:rPr>
        <w:tab/>
      </w:r>
      <w:r>
        <w:t>Skywave signal strength calculation</w:t>
      </w:r>
      <w:r>
        <w:tab/>
      </w:r>
      <w:r>
        <w:fldChar w:fldCharType="begin"/>
      </w:r>
      <w:r>
        <w:instrText xml:space="preserve"> PAGEREF _Toc462254360 \h </w:instrText>
      </w:r>
      <w:r>
        <w:fldChar w:fldCharType="separate"/>
      </w:r>
      <w:r>
        <w:t>11</w:t>
      </w:r>
      <w:r>
        <w:fldChar w:fldCharType="end"/>
      </w:r>
    </w:p>
    <w:p w14:paraId="3C85D2D9" w14:textId="77777777" w:rsidR="00940DA5" w:rsidRDefault="00940DA5">
      <w:pPr>
        <w:pStyle w:val="TOC2"/>
        <w:rPr>
          <w:rFonts w:eastAsiaTheme="minorEastAsia"/>
          <w:color w:val="auto"/>
          <w:lang w:eastAsia="en-GB"/>
        </w:rPr>
      </w:pPr>
      <w:r w:rsidRPr="00B67161">
        <w:t>5.3.</w:t>
      </w:r>
      <w:r>
        <w:rPr>
          <w:rFonts w:eastAsiaTheme="minorEastAsia"/>
          <w:color w:val="auto"/>
          <w:lang w:eastAsia="en-GB"/>
        </w:rPr>
        <w:tab/>
      </w:r>
      <w:r>
        <w:t>Self-fading</w:t>
      </w:r>
      <w:r>
        <w:tab/>
      </w:r>
      <w:r>
        <w:fldChar w:fldCharType="begin"/>
      </w:r>
      <w:r>
        <w:instrText xml:space="preserve"> PAGEREF _Toc462254361 \h </w:instrText>
      </w:r>
      <w:r>
        <w:fldChar w:fldCharType="separate"/>
      </w:r>
      <w:r>
        <w:t>13</w:t>
      </w:r>
      <w:r>
        <w:fldChar w:fldCharType="end"/>
      </w:r>
    </w:p>
    <w:p w14:paraId="74F69D47" w14:textId="77777777" w:rsidR="00940DA5" w:rsidRDefault="00940DA5">
      <w:pPr>
        <w:pStyle w:val="TOC2"/>
        <w:rPr>
          <w:rFonts w:eastAsiaTheme="minorEastAsia"/>
          <w:color w:val="auto"/>
          <w:lang w:eastAsia="en-GB"/>
        </w:rPr>
      </w:pPr>
      <w:r w:rsidRPr="00B67161">
        <w:t>5.4.</w:t>
      </w:r>
      <w:r>
        <w:rPr>
          <w:rFonts w:eastAsiaTheme="minorEastAsia"/>
          <w:color w:val="auto"/>
          <w:lang w:eastAsia="en-GB"/>
        </w:rPr>
        <w:tab/>
      </w:r>
      <w:r>
        <w:t>Atmospheric noise</w:t>
      </w:r>
      <w:r>
        <w:tab/>
      </w:r>
      <w:r>
        <w:fldChar w:fldCharType="begin"/>
      </w:r>
      <w:r>
        <w:instrText xml:space="preserve"> PAGEREF _Toc462254362 \h </w:instrText>
      </w:r>
      <w:r>
        <w:fldChar w:fldCharType="separate"/>
      </w:r>
      <w:r>
        <w:t>14</w:t>
      </w:r>
      <w:r>
        <w:fldChar w:fldCharType="end"/>
      </w:r>
    </w:p>
    <w:p w14:paraId="33FCB3D1" w14:textId="77777777" w:rsidR="00940DA5" w:rsidRDefault="00940DA5">
      <w:pPr>
        <w:pStyle w:val="TOC2"/>
        <w:rPr>
          <w:rFonts w:eastAsiaTheme="minorEastAsia"/>
          <w:color w:val="auto"/>
          <w:lang w:eastAsia="en-GB"/>
        </w:rPr>
      </w:pPr>
      <w:r w:rsidRPr="00B67161">
        <w:t>5.5.</w:t>
      </w:r>
      <w:r>
        <w:rPr>
          <w:rFonts w:eastAsiaTheme="minorEastAsia"/>
          <w:color w:val="auto"/>
          <w:lang w:eastAsia="en-GB"/>
        </w:rPr>
        <w:tab/>
      </w:r>
      <w:r>
        <w:t>Interference</w:t>
      </w:r>
      <w:r>
        <w:tab/>
      </w:r>
      <w:r>
        <w:fldChar w:fldCharType="begin"/>
      </w:r>
      <w:r>
        <w:instrText xml:space="preserve"> PAGEREF _Toc462254363 \h </w:instrText>
      </w:r>
      <w:r>
        <w:fldChar w:fldCharType="separate"/>
      </w:r>
      <w:r>
        <w:t>14</w:t>
      </w:r>
      <w:r>
        <w:fldChar w:fldCharType="end"/>
      </w:r>
    </w:p>
    <w:p w14:paraId="008B18B2" w14:textId="77777777" w:rsidR="00940DA5" w:rsidRDefault="00940DA5">
      <w:pPr>
        <w:pStyle w:val="TOC2"/>
        <w:rPr>
          <w:rFonts w:eastAsiaTheme="minorEastAsia"/>
          <w:color w:val="auto"/>
          <w:lang w:eastAsia="en-GB"/>
        </w:rPr>
      </w:pPr>
      <w:r w:rsidRPr="00B67161">
        <w:t>5.6.</w:t>
      </w:r>
      <w:r>
        <w:rPr>
          <w:rFonts w:eastAsiaTheme="minorEastAsia"/>
          <w:color w:val="auto"/>
          <w:lang w:eastAsia="en-GB"/>
        </w:rPr>
        <w:tab/>
      </w:r>
      <w:r>
        <w:t>Evaluation</w:t>
      </w:r>
      <w:r>
        <w:tab/>
      </w:r>
      <w:r>
        <w:fldChar w:fldCharType="begin"/>
      </w:r>
      <w:r>
        <w:instrText xml:space="preserve"> PAGEREF _Toc462254364 \h </w:instrText>
      </w:r>
      <w:r>
        <w:fldChar w:fldCharType="separate"/>
      </w:r>
      <w:r>
        <w:t>14</w:t>
      </w:r>
      <w:r>
        <w:fldChar w:fldCharType="end"/>
      </w:r>
    </w:p>
    <w:p w14:paraId="733F07E1" w14:textId="77777777" w:rsidR="00940DA5" w:rsidRDefault="00940DA5">
      <w:pPr>
        <w:pStyle w:val="TOC1"/>
        <w:rPr>
          <w:rFonts w:eastAsiaTheme="minorEastAsia"/>
          <w:b w:val="0"/>
          <w:color w:val="auto"/>
          <w:lang w:eastAsia="en-GB"/>
        </w:rPr>
      </w:pPr>
      <w:r w:rsidRPr="00B67161">
        <w:t>6.</w:t>
      </w:r>
      <w:r>
        <w:rPr>
          <w:rFonts w:eastAsiaTheme="minorEastAsia"/>
          <w:b w:val="0"/>
          <w:color w:val="auto"/>
          <w:lang w:eastAsia="en-GB"/>
        </w:rPr>
        <w:tab/>
      </w:r>
      <w:r>
        <w:t>NOMINAL RANGE</w:t>
      </w:r>
      <w:r>
        <w:tab/>
      </w:r>
      <w:r>
        <w:fldChar w:fldCharType="begin"/>
      </w:r>
      <w:r>
        <w:instrText xml:space="preserve"> PAGEREF _Toc462254365 \h </w:instrText>
      </w:r>
      <w:r>
        <w:fldChar w:fldCharType="separate"/>
      </w:r>
      <w:r>
        <w:t>15</w:t>
      </w:r>
      <w:r>
        <w:fldChar w:fldCharType="end"/>
      </w:r>
    </w:p>
    <w:p w14:paraId="541E2AD0" w14:textId="77777777" w:rsidR="00940DA5" w:rsidRDefault="00940DA5">
      <w:pPr>
        <w:pStyle w:val="TOC1"/>
        <w:rPr>
          <w:rFonts w:eastAsiaTheme="minorEastAsia"/>
          <w:b w:val="0"/>
          <w:color w:val="auto"/>
          <w:lang w:eastAsia="en-GB"/>
        </w:rPr>
      </w:pPr>
      <w:r w:rsidRPr="00B67161">
        <w:t>7.</w:t>
      </w:r>
      <w:r>
        <w:rPr>
          <w:rFonts w:eastAsiaTheme="minorEastAsia"/>
          <w:b w:val="0"/>
          <w:color w:val="auto"/>
          <w:lang w:eastAsia="en-GB"/>
        </w:rPr>
        <w:tab/>
      </w:r>
      <w:r>
        <w:t>IN-FIELD MEASUREMENTS</w:t>
      </w:r>
      <w:r>
        <w:tab/>
      </w:r>
      <w:r>
        <w:fldChar w:fldCharType="begin"/>
      </w:r>
      <w:r>
        <w:instrText xml:space="preserve"> PAGEREF _Toc462254366 \h </w:instrText>
      </w:r>
      <w:r>
        <w:fldChar w:fldCharType="separate"/>
      </w:r>
      <w:r>
        <w:t>15</w:t>
      </w:r>
      <w:r>
        <w:fldChar w:fldCharType="end"/>
      </w:r>
    </w:p>
    <w:p w14:paraId="245D5E7B" w14:textId="77777777" w:rsidR="00940DA5" w:rsidRDefault="00940DA5">
      <w:pPr>
        <w:pStyle w:val="TOC2"/>
        <w:rPr>
          <w:rFonts w:eastAsiaTheme="minorEastAsia"/>
          <w:color w:val="auto"/>
          <w:lang w:eastAsia="en-GB"/>
        </w:rPr>
      </w:pPr>
      <w:r w:rsidRPr="00B67161">
        <w:t>7.1.</w:t>
      </w:r>
      <w:r>
        <w:rPr>
          <w:rFonts w:eastAsiaTheme="minorEastAsia"/>
          <w:color w:val="auto"/>
          <w:lang w:eastAsia="en-GB"/>
        </w:rPr>
        <w:tab/>
      </w:r>
      <w:r>
        <w:t>Equipment</w:t>
      </w:r>
      <w:r>
        <w:tab/>
      </w:r>
      <w:r>
        <w:fldChar w:fldCharType="begin"/>
      </w:r>
      <w:r>
        <w:instrText xml:space="preserve"> PAGEREF _Toc462254367 \h </w:instrText>
      </w:r>
      <w:r>
        <w:fldChar w:fldCharType="separate"/>
      </w:r>
      <w:r>
        <w:t>15</w:t>
      </w:r>
      <w:r>
        <w:fldChar w:fldCharType="end"/>
      </w:r>
    </w:p>
    <w:p w14:paraId="2CFE6442" w14:textId="77777777" w:rsidR="00940DA5" w:rsidRDefault="00940DA5">
      <w:pPr>
        <w:pStyle w:val="TOC2"/>
        <w:rPr>
          <w:rFonts w:eastAsiaTheme="minorEastAsia"/>
          <w:color w:val="auto"/>
          <w:lang w:eastAsia="en-GB"/>
        </w:rPr>
      </w:pPr>
      <w:r w:rsidRPr="00B67161">
        <w:t>7.2.</w:t>
      </w:r>
      <w:r>
        <w:rPr>
          <w:rFonts w:eastAsiaTheme="minorEastAsia"/>
          <w:color w:val="auto"/>
          <w:lang w:eastAsia="en-GB"/>
        </w:rPr>
        <w:tab/>
      </w:r>
      <w:r>
        <w:t>Measurement Process</w:t>
      </w:r>
      <w:r>
        <w:tab/>
      </w:r>
      <w:r>
        <w:fldChar w:fldCharType="begin"/>
      </w:r>
      <w:r>
        <w:instrText xml:space="preserve"> PAGEREF _Toc462254368 \h </w:instrText>
      </w:r>
      <w:r>
        <w:fldChar w:fldCharType="separate"/>
      </w:r>
      <w:r>
        <w:t>15</w:t>
      </w:r>
      <w:r>
        <w:fldChar w:fldCharType="end"/>
      </w:r>
    </w:p>
    <w:p w14:paraId="36590E12" w14:textId="77777777" w:rsidR="00940DA5" w:rsidRDefault="00940DA5">
      <w:pPr>
        <w:pStyle w:val="TOC1"/>
        <w:rPr>
          <w:rFonts w:eastAsiaTheme="minorEastAsia"/>
          <w:b w:val="0"/>
          <w:color w:val="auto"/>
          <w:lang w:eastAsia="en-GB"/>
        </w:rPr>
      </w:pPr>
      <w:r w:rsidRPr="00B67161">
        <w:t>8.</w:t>
      </w:r>
      <w:r>
        <w:rPr>
          <w:rFonts w:eastAsiaTheme="minorEastAsia"/>
          <w:b w:val="0"/>
          <w:color w:val="auto"/>
          <w:lang w:eastAsia="en-GB"/>
        </w:rPr>
        <w:tab/>
      </w:r>
      <w:r>
        <w:t>ACRONYMS</w:t>
      </w:r>
      <w:r>
        <w:tab/>
      </w:r>
      <w:r>
        <w:fldChar w:fldCharType="begin"/>
      </w:r>
      <w:r>
        <w:instrText xml:space="preserve"> PAGEREF _Toc462254369 \h </w:instrText>
      </w:r>
      <w:r>
        <w:fldChar w:fldCharType="separate"/>
      </w:r>
      <w:r>
        <w:t>16</w:t>
      </w:r>
      <w:r>
        <w:fldChar w:fldCharType="end"/>
      </w:r>
    </w:p>
    <w:p w14:paraId="117D9711" w14:textId="77777777" w:rsidR="00940DA5" w:rsidRDefault="00940DA5">
      <w:pPr>
        <w:pStyle w:val="TOC1"/>
        <w:rPr>
          <w:rFonts w:eastAsiaTheme="minorEastAsia"/>
          <w:b w:val="0"/>
          <w:color w:val="auto"/>
          <w:lang w:eastAsia="en-GB"/>
        </w:rPr>
      </w:pPr>
      <w:r w:rsidRPr="00B67161">
        <w:t>9.</w:t>
      </w:r>
      <w:r>
        <w:rPr>
          <w:rFonts w:eastAsiaTheme="minorEastAsia"/>
          <w:b w:val="0"/>
          <w:color w:val="auto"/>
          <w:lang w:eastAsia="en-GB"/>
        </w:rPr>
        <w:tab/>
      </w:r>
      <w:r>
        <w:t>REFERENCES</w:t>
      </w:r>
      <w:r>
        <w:tab/>
      </w:r>
      <w:r>
        <w:fldChar w:fldCharType="begin"/>
      </w:r>
      <w:r>
        <w:instrText xml:space="preserve"> PAGEREF _Toc462254370 \h </w:instrText>
      </w:r>
      <w:r>
        <w:fldChar w:fldCharType="separate"/>
      </w:r>
      <w:r>
        <w:t>16</w:t>
      </w:r>
      <w:r>
        <w:fldChar w:fldCharType="end"/>
      </w:r>
    </w:p>
    <w:p w14:paraId="37135C68" w14:textId="77777777" w:rsidR="00642025" w:rsidRPr="0093492E" w:rsidRDefault="004A4EC4" w:rsidP="0093492E">
      <w:pPr>
        <w:rPr>
          <w:b/>
          <w:noProof/>
          <w:color w:val="00558C" w:themeColor="accent1"/>
          <w:sz w:val="22"/>
        </w:rPr>
      </w:pPr>
      <w:r>
        <w:rPr>
          <w:rFonts w:eastAsia="Times New Roman" w:cs="Times New Roman"/>
          <w:b/>
          <w:noProof/>
          <w:color w:val="00558C" w:themeColor="accent1"/>
          <w:sz w:val="22"/>
          <w:szCs w:val="20"/>
        </w:rPr>
        <w:fldChar w:fldCharType="end"/>
      </w:r>
    </w:p>
    <w:p w14:paraId="7CCCCDC1" w14:textId="77777777" w:rsidR="0078486B" w:rsidRDefault="002F265A" w:rsidP="00C9558A">
      <w:pPr>
        <w:pStyle w:val="ListofFigures"/>
      </w:pPr>
      <w:r>
        <w:t>List of Tables</w:t>
      </w:r>
    </w:p>
    <w:p w14:paraId="60FC914A" w14:textId="77777777" w:rsidR="00940DA5" w:rsidRDefault="006C2D53">
      <w:pPr>
        <w:pStyle w:val="TableofFigures"/>
        <w:rPr>
          <w:rFonts w:eastAsiaTheme="minorEastAsia"/>
          <w:i w:val="0"/>
          <w:noProof/>
          <w:lang w:eastAsia="en-GB"/>
        </w:rPr>
      </w:pPr>
      <w:r>
        <w:fldChar w:fldCharType="begin"/>
      </w:r>
      <w:r>
        <w:instrText xml:space="preserve"> TOC \t "Table caption,1" \c "Table" </w:instrText>
      </w:r>
      <w:r>
        <w:fldChar w:fldCharType="separate"/>
      </w:r>
      <w:r w:rsidR="00940DA5">
        <w:rPr>
          <w:noProof/>
        </w:rPr>
        <w:t xml:space="preserve">Table 1: </w:t>
      </w:r>
      <w:r w:rsidR="00940DA5" w:rsidRPr="006C1FFB">
        <w:rPr>
          <w:i w:val="0"/>
          <w:iCs/>
          <w:noProof/>
        </w:rPr>
        <w:t>Annual average noise values not exceeded 95% of the time, in dB</w:t>
      </w:r>
      <w:r w:rsidR="00940DA5" w:rsidRPr="006C1FFB">
        <w:rPr>
          <w:rFonts w:ascii="Symbol" w:hAnsi="Symbol"/>
          <w:i w:val="0"/>
          <w:iCs/>
          <w:noProof/>
        </w:rPr>
        <w:t></w:t>
      </w:r>
      <w:r w:rsidR="00940DA5" w:rsidRPr="006C1FFB">
        <w:rPr>
          <w:i w:val="0"/>
          <w:iCs/>
          <w:noProof/>
        </w:rPr>
        <w:t>V/m [7].</w:t>
      </w:r>
      <w:r w:rsidR="00940DA5">
        <w:rPr>
          <w:noProof/>
        </w:rPr>
        <w:tab/>
      </w:r>
      <w:r w:rsidR="00940DA5">
        <w:rPr>
          <w:noProof/>
        </w:rPr>
        <w:fldChar w:fldCharType="begin"/>
      </w:r>
      <w:r w:rsidR="00940DA5">
        <w:rPr>
          <w:noProof/>
        </w:rPr>
        <w:instrText xml:space="preserve"> PAGEREF _Toc462254371 \h </w:instrText>
      </w:r>
      <w:r w:rsidR="00940DA5">
        <w:rPr>
          <w:noProof/>
        </w:rPr>
      </w:r>
      <w:r w:rsidR="00940DA5">
        <w:rPr>
          <w:noProof/>
        </w:rPr>
        <w:fldChar w:fldCharType="separate"/>
      </w:r>
      <w:r w:rsidR="00940DA5">
        <w:rPr>
          <w:noProof/>
        </w:rPr>
        <w:t>8</w:t>
      </w:r>
      <w:r w:rsidR="00940DA5">
        <w:rPr>
          <w:noProof/>
        </w:rPr>
        <w:fldChar w:fldCharType="end"/>
      </w:r>
    </w:p>
    <w:p w14:paraId="545EA01E" w14:textId="77777777" w:rsidR="00940DA5" w:rsidRDefault="00940DA5">
      <w:pPr>
        <w:pStyle w:val="TableofFigures"/>
        <w:rPr>
          <w:rFonts w:eastAsiaTheme="minorEastAsia"/>
          <w:i w:val="0"/>
          <w:noProof/>
          <w:lang w:eastAsia="en-GB"/>
        </w:rPr>
      </w:pPr>
      <w:r>
        <w:rPr>
          <w:noProof/>
        </w:rPr>
        <w:t>Table 2: Protection radios as provided in ITU-R M.823 [9].</w:t>
      </w:r>
      <w:r>
        <w:rPr>
          <w:noProof/>
        </w:rPr>
        <w:tab/>
      </w:r>
      <w:r>
        <w:rPr>
          <w:noProof/>
        </w:rPr>
        <w:fldChar w:fldCharType="begin"/>
      </w:r>
      <w:r>
        <w:rPr>
          <w:noProof/>
        </w:rPr>
        <w:instrText xml:space="preserve"> PAGEREF _Toc462254372 \h </w:instrText>
      </w:r>
      <w:r>
        <w:rPr>
          <w:noProof/>
        </w:rPr>
      </w:r>
      <w:r>
        <w:rPr>
          <w:noProof/>
        </w:rPr>
        <w:fldChar w:fldCharType="separate"/>
      </w:r>
      <w:r>
        <w:rPr>
          <w:noProof/>
        </w:rPr>
        <w:t>8</w:t>
      </w:r>
      <w:r>
        <w:rPr>
          <w:noProof/>
        </w:rPr>
        <w:fldChar w:fldCharType="end"/>
      </w:r>
    </w:p>
    <w:p w14:paraId="4D318FBD" w14:textId="77777777" w:rsidR="00940DA5" w:rsidRDefault="00940DA5">
      <w:pPr>
        <w:pStyle w:val="TableofFigures"/>
        <w:rPr>
          <w:rFonts w:eastAsiaTheme="minorEastAsia"/>
          <w:i w:val="0"/>
          <w:noProof/>
          <w:lang w:eastAsia="en-GB"/>
        </w:rPr>
      </w:pPr>
      <w:r>
        <w:rPr>
          <w:noProof/>
        </w:rPr>
        <w:t>Table 3: Details for the three stations used in the example, as taken from IALA list of radiobeacons [10]</w:t>
      </w:r>
      <w:r>
        <w:rPr>
          <w:noProof/>
        </w:rPr>
        <w:tab/>
      </w:r>
      <w:r>
        <w:rPr>
          <w:noProof/>
        </w:rPr>
        <w:fldChar w:fldCharType="begin"/>
      </w:r>
      <w:r>
        <w:rPr>
          <w:noProof/>
        </w:rPr>
        <w:instrText xml:space="preserve"> PAGEREF _Toc462254373 \h </w:instrText>
      </w:r>
      <w:r>
        <w:rPr>
          <w:noProof/>
        </w:rPr>
      </w:r>
      <w:r>
        <w:rPr>
          <w:noProof/>
        </w:rPr>
        <w:fldChar w:fldCharType="separate"/>
      </w:r>
      <w:r>
        <w:rPr>
          <w:noProof/>
        </w:rPr>
        <w:t>9</w:t>
      </w:r>
      <w:r>
        <w:rPr>
          <w:noProof/>
        </w:rPr>
        <w:fldChar w:fldCharType="end"/>
      </w:r>
    </w:p>
    <w:p w14:paraId="016434A2" w14:textId="77777777" w:rsidR="00940DA5" w:rsidRDefault="00940DA5">
      <w:pPr>
        <w:pStyle w:val="TableofFigures"/>
        <w:rPr>
          <w:rFonts w:eastAsiaTheme="minorEastAsia"/>
          <w:i w:val="0"/>
          <w:noProof/>
          <w:lang w:eastAsia="en-GB"/>
        </w:rPr>
      </w:pPr>
      <w:r>
        <w:rPr>
          <w:noProof/>
        </w:rPr>
        <w:t>Table 4: Nominal range field strength reference levels for ITU Region 1 [8]</w:t>
      </w:r>
      <w:r>
        <w:rPr>
          <w:noProof/>
        </w:rPr>
        <w:tab/>
      </w:r>
      <w:r>
        <w:rPr>
          <w:noProof/>
        </w:rPr>
        <w:fldChar w:fldCharType="begin"/>
      </w:r>
      <w:r>
        <w:rPr>
          <w:noProof/>
        </w:rPr>
        <w:instrText xml:space="preserve"> PAGEREF _Toc462254374 \h </w:instrText>
      </w:r>
      <w:r>
        <w:rPr>
          <w:noProof/>
        </w:rPr>
      </w:r>
      <w:r>
        <w:rPr>
          <w:noProof/>
        </w:rPr>
        <w:fldChar w:fldCharType="separate"/>
      </w:r>
      <w:r>
        <w:rPr>
          <w:noProof/>
        </w:rPr>
        <w:t>10</w:t>
      </w:r>
      <w:r>
        <w:rPr>
          <w:noProof/>
        </w:rPr>
        <w:fldChar w:fldCharType="end"/>
      </w:r>
    </w:p>
    <w:p w14:paraId="7C43DEB3" w14:textId="77777777" w:rsidR="00940DA5" w:rsidRDefault="00940DA5">
      <w:pPr>
        <w:pStyle w:val="TableofFigures"/>
        <w:rPr>
          <w:rFonts w:eastAsiaTheme="minorEastAsia"/>
          <w:i w:val="0"/>
          <w:noProof/>
          <w:lang w:eastAsia="en-GB"/>
        </w:rPr>
      </w:pPr>
      <w:r>
        <w:rPr>
          <w:noProof/>
        </w:rPr>
        <w:t>Table 5: Range and calculated signal strengths for the potential interference sources</w:t>
      </w:r>
      <w:r>
        <w:rPr>
          <w:noProof/>
        </w:rPr>
        <w:tab/>
      </w:r>
      <w:r>
        <w:rPr>
          <w:noProof/>
        </w:rPr>
        <w:fldChar w:fldCharType="begin"/>
      </w:r>
      <w:r>
        <w:rPr>
          <w:noProof/>
        </w:rPr>
        <w:instrText xml:space="preserve"> PAGEREF _Toc462254375 \h </w:instrText>
      </w:r>
      <w:r>
        <w:rPr>
          <w:noProof/>
        </w:rPr>
      </w:r>
      <w:r>
        <w:rPr>
          <w:noProof/>
        </w:rPr>
        <w:fldChar w:fldCharType="separate"/>
      </w:r>
      <w:r>
        <w:rPr>
          <w:noProof/>
        </w:rPr>
        <w:t>14</w:t>
      </w:r>
      <w:r>
        <w:rPr>
          <w:noProof/>
        </w:rPr>
        <w:fldChar w:fldCharType="end"/>
      </w:r>
    </w:p>
    <w:p w14:paraId="3082A592" w14:textId="77777777" w:rsidR="00161325" w:rsidRDefault="006C2D53" w:rsidP="00923B4D">
      <w:pPr>
        <w:pStyle w:val="BodyText"/>
      </w:pPr>
      <w:r>
        <w:fldChar w:fldCharType="end"/>
      </w:r>
    </w:p>
    <w:p w14:paraId="1F168E95" w14:textId="77777777" w:rsidR="006C2D53" w:rsidRDefault="006C2D53" w:rsidP="00923B4D">
      <w:pPr>
        <w:pStyle w:val="BodyText"/>
      </w:pPr>
    </w:p>
    <w:p w14:paraId="3F68BAFA" w14:textId="77777777" w:rsidR="006C2D53" w:rsidRPr="00C91630" w:rsidRDefault="006C2D53" w:rsidP="00923B4D">
      <w:pPr>
        <w:pStyle w:val="BodyText"/>
      </w:pPr>
    </w:p>
    <w:p w14:paraId="2FD9E249" w14:textId="77777777" w:rsidR="00994D97" w:rsidRDefault="00994D97" w:rsidP="00C9558A">
      <w:pPr>
        <w:pStyle w:val="ListofFigures"/>
      </w:pPr>
      <w:r w:rsidRPr="00441393">
        <w:lastRenderedPageBreak/>
        <w:t>List of Figures</w:t>
      </w:r>
    </w:p>
    <w:p w14:paraId="1EEDE9AD" w14:textId="77777777" w:rsidR="00940DA5" w:rsidRDefault="006C2D53">
      <w:pPr>
        <w:pStyle w:val="TableofFigures"/>
        <w:rPr>
          <w:rFonts w:eastAsiaTheme="minorEastAsia"/>
          <w:i w:val="0"/>
          <w:noProof/>
          <w:lang w:eastAsia="en-GB"/>
        </w:rPr>
      </w:pPr>
      <w:r>
        <w:fldChar w:fldCharType="begin"/>
      </w:r>
      <w:r>
        <w:instrText xml:space="preserve"> TOC \t "Figure caption,1" \c "Figure" </w:instrText>
      </w:r>
      <w:r>
        <w:fldChar w:fldCharType="separate"/>
      </w:r>
      <w:r w:rsidR="00940DA5">
        <w:rPr>
          <w:noProof/>
        </w:rPr>
        <w:t>Figure 1: ITU-R ground-wave propagation curves at 300 kHz with results of calculating the groundwave signal strength shown (adapted from [ref]).</w:t>
      </w:r>
      <w:r w:rsidR="00940DA5">
        <w:rPr>
          <w:noProof/>
        </w:rPr>
        <w:tab/>
      </w:r>
      <w:r w:rsidR="00940DA5">
        <w:rPr>
          <w:noProof/>
        </w:rPr>
        <w:fldChar w:fldCharType="begin"/>
      </w:r>
      <w:r w:rsidR="00940DA5">
        <w:rPr>
          <w:noProof/>
        </w:rPr>
        <w:instrText xml:space="preserve"> PAGEREF _Toc462254376 \h </w:instrText>
      </w:r>
      <w:r w:rsidR="00940DA5">
        <w:rPr>
          <w:noProof/>
        </w:rPr>
      </w:r>
      <w:r w:rsidR="00940DA5">
        <w:rPr>
          <w:noProof/>
        </w:rPr>
        <w:fldChar w:fldCharType="separate"/>
      </w:r>
      <w:r w:rsidR="00940DA5">
        <w:rPr>
          <w:noProof/>
        </w:rPr>
        <w:t>11</w:t>
      </w:r>
      <w:r w:rsidR="00940DA5">
        <w:rPr>
          <w:noProof/>
        </w:rPr>
        <w:fldChar w:fldCharType="end"/>
      </w:r>
    </w:p>
    <w:p w14:paraId="282A5955" w14:textId="77777777" w:rsidR="00940DA5" w:rsidRDefault="00940DA5">
      <w:pPr>
        <w:pStyle w:val="TableofFigures"/>
        <w:rPr>
          <w:rFonts w:eastAsiaTheme="minorEastAsia"/>
          <w:i w:val="0"/>
          <w:noProof/>
          <w:lang w:eastAsia="en-GB"/>
        </w:rPr>
      </w:pPr>
      <w:r>
        <w:rPr>
          <w:noProof/>
        </w:rPr>
        <w:t>Figure 2: Sea gain occurs when either the transmitter or the receiver is located within 5km of the sea and is  calculated for both ends of the transmission path [5].</w:t>
      </w:r>
      <w:r>
        <w:rPr>
          <w:noProof/>
        </w:rPr>
        <w:tab/>
      </w:r>
      <w:r>
        <w:rPr>
          <w:noProof/>
        </w:rPr>
        <w:fldChar w:fldCharType="begin"/>
      </w:r>
      <w:r>
        <w:rPr>
          <w:noProof/>
        </w:rPr>
        <w:instrText xml:space="preserve"> PAGEREF _Toc462254377 \h </w:instrText>
      </w:r>
      <w:r>
        <w:rPr>
          <w:noProof/>
        </w:rPr>
      </w:r>
      <w:r>
        <w:rPr>
          <w:noProof/>
        </w:rPr>
        <w:fldChar w:fldCharType="separate"/>
      </w:r>
      <w:r>
        <w:rPr>
          <w:noProof/>
        </w:rPr>
        <w:t>12</w:t>
      </w:r>
      <w:r>
        <w:rPr>
          <w:noProof/>
        </w:rPr>
        <w:fldChar w:fldCharType="end"/>
      </w:r>
    </w:p>
    <w:p w14:paraId="7BB1D04A" w14:textId="77777777" w:rsidR="00940DA5" w:rsidRDefault="00940DA5">
      <w:pPr>
        <w:pStyle w:val="TableofFigures"/>
        <w:rPr>
          <w:rFonts w:eastAsiaTheme="minorEastAsia"/>
          <w:i w:val="0"/>
          <w:noProof/>
          <w:lang w:eastAsia="en-GB"/>
        </w:rPr>
      </w:pPr>
      <w:r>
        <w:rPr>
          <w:noProof/>
        </w:rPr>
        <w:t>Figure 3: Groundwave and skywave curves for a 1kW transmitter (curves show extremes of propagation for groundwave and two different percentile signal strengths for skywave), [7].</w:t>
      </w:r>
      <w:r>
        <w:rPr>
          <w:noProof/>
        </w:rPr>
        <w:tab/>
      </w:r>
      <w:r>
        <w:rPr>
          <w:noProof/>
        </w:rPr>
        <w:fldChar w:fldCharType="begin"/>
      </w:r>
      <w:r>
        <w:rPr>
          <w:noProof/>
        </w:rPr>
        <w:instrText xml:space="preserve"> PAGEREF _Toc462254378 \h </w:instrText>
      </w:r>
      <w:r>
        <w:rPr>
          <w:noProof/>
        </w:rPr>
      </w:r>
      <w:r>
        <w:rPr>
          <w:noProof/>
        </w:rPr>
        <w:fldChar w:fldCharType="separate"/>
      </w:r>
      <w:r>
        <w:rPr>
          <w:noProof/>
        </w:rPr>
        <w:t>13</w:t>
      </w:r>
      <w:r>
        <w:rPr>
          <w:noProof/>
        </w:rPr>
        <w:fldChar w:fldCharType="end"/>
      </w:r>
    </w:p>
    <w:p w14:paraId="3BE424D3" w14:textId="77777777" w:rsidR="005E4659" w:rsidRDefault="006C2D53" w:rsidP="007D1805">
      <w:pPr>
        <w:pStyle w:val="TableofFigures"/>
      </w:pPr>
      <w:r>
        <w:fldChar w:fldCharType="end"/>
      </w:r>
    </w:p>
    <w:p w14:paraId="3A6598EE" w14:textId="77777777" w:rsidR="005E4659" w:rsidRDefault="00DA17CD" w:rsidP="00C9558A">
      <w:pPr>
        <w:pStyle w:val="ListofFigures"/>
      </w:pPr>
      <w:r>
        <w:t>List of Equations</w:t>
      </w:r>
    </w:p>
    <w:p w14:paraId="63EA8AC4" w14:textId="77777777" w:rsidR="00940DA5" w:rsidRDefault="00B4599A">
      <w:pPr>
        <w:pStyle w:val="TableofFigures"/>
        <w:rPr>
          <w:rFonts w:eastAsiaTheme="minorEastAsia"/>
          <w:i w:val="0"/>
          <w:noProof/>
          <w:lang w:eastAsia="en-GB"/>
        </w:rPr>
      </w:pPr>
      <w:r>
        <w:fldChar w:fldCharType="begin"/>
      </w:r>
      <w:r>
        <w:instrText xml:space="preserve"> TOC \h \z \c "Equation" </w:instrText>
      </w:r>
      <w:r>
        <w:fldChar w:fldCharType="separate"/>
      </w:r>
      <w:hyperlink w:anchor="_Toc462254379" w:history="1">
        <w:r w:rsidR="00940DA5" w:rsidRPr="005B4B7B">
          <w:rPr>
            <w:rStyle w:val="Hyperlink"/>
            <w:noProof/>
          </w:rPr>
          <w:t>Equation 1: Self-fading levels as defined by Poppe [5]</w:t>
        </w:r>
        <w:r w:rsidR="00940DA5">
          <w:rPr>
            <w:noProof/>
            <w:webHidden/>
          </w:rPr>
          <w:tab/>
        </w:r>
        <w:r w:rsidR="00940DA5">
          <w:rPr>
            <w:noProof/>
            <w:webHidden/>
          </w:rPr>
          <w:fldChar w:fldCharType="begin"/>
        </w:r>
        <w:r w:rsidR="00940DA5">
          <w:rPr>
            <w:noProof/>
            <w:webHidden/>
          </w:rPr>
          <w:instrText xml:space="preserve"> PAGEREF _Toc462254379 \h </w:instrText>
        </w:r>
        <w:r w:rsidR="00940DA5">
          <w:rPr>
            <w:noProof/>
            <w:webHidden/>
          </w:rPr>
        </w:r>
        <w:r w:rsidR="00940DA5">
          <w:rPr>
            <w:noProof/>
            <w:webHidden/>
          </w:rPr>
          <w:fldChar w:fldCharType="separate"/>
        </w:r>
        <w:r w:rsidR="00940DA5">
          <w:rPr>
            <w:noProof/>
            <w:webHidden/>
          </w:rPr>
          <w:t>7</w:t>
        </w:r>
        <w:r w:rsidR="00940DA5">
          <w:rPr>
            <w:noProof/>
            <w:webHidden/>
          </w:rPr>
          <w:fldChar w:fldCharType="end"/>
        </w:r>
      </w:hyperlink>
    </w:p>
    <w:p w14:paraId="37DA5AE5" w14:textId="77777777" w:rsidR="00940DA5" w:rsidRDefault="0095559B">
      <w:pPr>
        <w:pStyle w:val="TableofFigures"/>
        <w:rPr>
          <w:rFonts w:eastAsiaTheme="minorEastAsia"/>
          <w:i w:val="0"/>
          <w:noProof/>
          <w:lang w:eastAsia="en-GB"/>
        </w:rPr>
      </w:pPr>
      <w:hyperlink w:anchor="_Toc462254380" w:history="1">
        <w:r w:rsidR="00940DA5" w:rsidRPr="005B4B7B">
          <w:rPr>
            <w:rStyle w:val="Hyperlink"/>
            <w:noProof/>
          </w:rPr>
          <w:t>Equation 2: Skywave signal strength calculation [5]</w:t>
        </w:r>
        <w:r w:rsidR="00940DA5">
          <w:rPr>
            <w:noProof/>
            <w:webHidden/>
          </w:rPr>
          <w:tab/>
        </w:r>
        <w:r w:rsidR="00940DA5">
          <w:rPr>
            <w:noProof/>
            <w:webHidden/>
          </w:rPr>
          <w:fldChar w:fldCharType="begin"/>
        </w:r>
        <w:r w:rsidR="00940DA5">
          <w:rPr>
            <w:noProof/>
            <w:webHidden/>
          </w:rPr>
          <w:instrText xml:space="preserve"> PAGEREF _Toc462254380 \h </w:instrText>
        </w:r>
        <w:r w:rsidR="00940DA5">
          <w:rPr>
            <w:noProof/>
            <w:webHidden/>
          </w:rPr>
        </w:r>
        <w:r w:rsidR="00940DA5">
          <w:rPr>
            <w:noProof/>
            <w:webHidden/>
          </w:rPr>
          <w:fldChar w:fldCharType="separate"/>
        </w:r>
        <w:r w:rsidR="00940DA5">
          <w:rPr>
            <w:noProof/>
            <w:webHidden/>
          </w:rPr>
          <w:t>11</w:t>
        </w:r>
        <w:r w:rsidR="00940DA5">
          <w:rPr>
            <w:noProof/>
            <w:webHidden/>
          </w:rPr>
          <w:fldChar w:fldCharType="end"/>
        </w:r>
      </w:hyperlink>
    </w:p>
    <w:p w14:paraId="4EDDC6ED" w14:textId="77777777" w:rsidR="00940DA5" w:rsidRDefault="0095559B">
      <w:pPr>
        <w:pStyle w:val="TableofFigures"/>
        <w:rPr>
          <w:rFonts w:eastAsiaTheme="minorEastAsia"/>
          <w:i w:val="0"/>
          <w:noProof/>
          <w:lang w:eastAsia="en-GB"/>
        </w:rPr>
      </w:pPr>
      <w:hyperlink w:anchor="_Toc462254381" w:history="1">
        <w:r w:rsidR="00940DA5" w:rsidRPr="005B4B7B">
          <w:rPr>
            <w:rStyle w:val="Hyperlink"/>
            <w:noProof/>
          </w:rPr>
          <w:t>Equation 3: Geomagnetic latitude calculation</w:t>
        </w:r>
        <w:r w:rsidR="00940DA5">
          <w:rPr>
            <w:noProof/>
            <w:webHidden/>
          </w:rPr>
          <w:tab/>
        </w:r>
        <w:r w:rsidR="00940DA5">
          <w:rPr>
            <w:noProof/>
            <w:webHidden/>
          </w:rPr>
          <w:fldChar w:fldCharType="begin"/>
        </w:r>
        <w:r w:rsidR="00940DA5">
          <w:rPr>
            <w:noProof/>
            <w:webHidden/>
          </w:rPr>
          <w:instrText xml:space="preserve"> PAGEREF _Toc462254381 \h </w:instrText>
        </w:r>
        <w:r w:rsidR="00940DA5">
          <w:rPr>
            <w:noProof/>
            <w:webHidden/>
          </w:rPr>
        </w:r>
        <w:r w:rsidR="00940DA5">
          <w:rPr>
            <w:noProof/>
            <w:webHidden/>
          </w:rPr>
          <w:fldChar w:fldCharType="separate"/>
        </w:r>
        <w:r w:rsidR="00940DA5">
          <w:rPr>
            <w:noProof/>
            <w:webHidden/>
          </w:rPr>
          <w:t>12</w:t>
        </w:r>
        <w:r w:rsidR="00940DA5">
          <w:rPr>
            <w:noProof/>
            <w:webHidden/>
          </w:rPr>
          <w:fldChar w:fldCharType="end"/>
        </w:r>
      </w:hyperlink>
    </w:p>
    <w:p w14:paraId="2D2553BB" w14:textId="77777777" w:rsidR="00940DA5" w:rsidRDefault="0095559B">
      <w:pPr>
        <w:pStyle w:val="TableofFigures"/>
        <w:rPr>
          <w:rFonts w:eastAsiaTheme="minorEastAsia"/>
          <w:i w:val="0"/>
          <w:noProof/>
          <w:lang w:eastAsia="en-GB"/>
        </w:rPr>
      </w:pPr>
      <w:hyperlink w:anchor="_Toc462254382" w:history="1">
        <w:r w:rsidR="00940DA5" w:rsidRPr="005B4B7B">
          <w:rPr>
            <w:rStyle w:val="Hyperlink"/>
            <w:noProof/>
          </w:rPr>
          <w:t>Equation 4: slant propagation distance calculation</w:t>
        </w:r>
        <w:r w:rsidR="00940DA5">
          <w:rPr>
            <w:noProof/>
            <w:webHidden/>
          </w:rPr>
          <w:tab/>
        </w:r>
        <w:r w:rsidR="00940DA5">
          <w:rPr>
            <w:noProof/>
            <w:webHidden/>
          </w:rPr>
          <w:fldChar w:fldCharType="begin"/>
        </w:r>
        <w:r w:rsidR="00940DA5">
          <w:rPr>
            <w:noProof/>
            <w:webHidden/>
          </w:rPr>
          <w:instrText xml:space="preserve"> PAGEREF _Toc462254382 \h </w:instrText>
        </w:r>
        <w:r w:rsidR="00940DA5">
          <w:rPr>
            <w:noProof/>
            <w:webHidden/>
          </w:rPr>
        </w:r>
        <w:r w:rsidR="00940DA5">
          <w:rPr>
            <w:noProof/>
            <w:webHidden/>
          </w:rPr>
          <w:fldChar w:fldCharType="separate"/>
        </w:r>
        <w:r w:rsidR="00940DA5">
          <w:rPr>
            <w:noProof/>
            <w:webHidden/>
          </w:rPr>
          <w:t>12</w:t>
        </w:r>
        <w:r w:rsidR="00940DA5">
          <w:rPr>
            <w:noProof/>
            <w:webHidden/>
          </w:rPr>
          <w:fldChar w:fldCharType="end"/>
        </w:r>
      </w:hyperlink>
    </w:p>
    <w:p w14:paraId="0C09FA6A" w14:textId="77777777" w:rsidR="00940DA5" w:rsidRDefault="0095559B">
      <w:pPr>
        <w:pStyle w:val="TableofFigures"/>
        <w:rPr>
          <w:rFonts w:eastAsiaTheme="minorEastAsia"/>
          <w:i w:val="0"/>
          <w:noProof/>
          <w:lang w:eastAsia="en-GB"/>
        </w:rPr>
      </w:pPr>
      <w:hyperlink w:anchor="_Toc462254383" w:history="1">
        <w:r w:rsidR="00940DA5" w:rsidRPr="005B4B7B">
          <w:rPr>
            <w:rStyle w:val="Hyperlink"/>
            <w:noProof/>
          </w:rPr>
          <w:t>Equation 5: ionospheric loss calculation</w:t>
        </w:r>
        <w:r w:rsidR="00940DA5">
          <w:rPr>
            <w:noProof/>
            <w:webHidden/>
          </w:rPr>
          <w:tab/>
        </w:r>
        <w:r w:rsidR="00940DA5">
          <w:rPr>
            <w:noProof/>
            <w:webHidden/>
          </w:rPr>
          <w:fldChar w:fldCharType="begin"/>
        </w:r>
        <w:r w:rsidR="00940DA5">
          <w:rPr>
            <w:noProof/>
            <w:webHidden/>
          </w:rPr>
          <w:instrText xml:space="preserve"> PAGEREF _Toc462254383 \h </w:instrText>
        </w:r>
        <w:r w:rsidR="00940DA5">
          <w:rPr>
            <w:noProof/>
            <w:webHidden/>
          </w:rPr>
        </w:r>
        <w:r w:rsidR="00940DA5">
          <w:rPr>
            <w:noProof/>
            <w:webHidden/>
          </w:rPr>
          <w:fldChar w:fldCharType="separate"/>
        </w:r>
        <w:r w:rsidR="00940DA5">
          <w:rPr>
            <w:noProof/>
            <w:webHidden/>
          </w:rPr>
          <w:t>12</w:t>
        </w:r>
        <w:r w:rsidR="00940DA5">
          <w:rPr>
            <w:noProof/>
            <w:webHidden/>
          </w:rPr>
          <w:fldChar w:fldCharType="end"/>
        </w:r>
      </w:hyperlink>
    </w:p>
    <w:p w14:paraId="75D860F0" w14:textId="77777777" w:rsidR="00940DA5" w:rsidRDefault="0095559B">
      <w:pPr>
        <w:pStyle w:val="TableofFigures"/>
        <w:rPr>
          <w:rFonts w:eastAsiaTheme="minorEastAsia"/>
          <w:i w:val="0"/>
          <w:noProof/>
          <w:lang w:eastAsia="en-GB"/>
        </w:rPr>
      </w:pPr>
      <w:hyperlink w:anchor="_Toc462254384" w:history="1">
        <w:r w:rsidR="00940DA5" w:rsidRPr="005B4B7B">
          <w:rPr>
            <w:rStyle w:val="Hyperlink"/>
            <w:noProof/>
          </w:rPr>
          <w:t>Equation 6: Antenna gain polynominal</w:t>
        </w:r>
        <w:r w:rsidR="00940DA5">
          <w:rPr>
            <w:noProof/>
            <w:webHidden/>
          </w:rPr>
          <w:tab/>
        </w:r>
        <w:r w:rsidR="00940DA5">
          <w:rPr>
            <w:noProof/>
            <w:webHidden/>
          </w:rPr>
          <w:fldChar w:fldCharType="begin"/>
        </w:r>
        <w:r w:rsidR="00940DA5">
          <w:rPr>
            <w:noProof/>
            <w:webHidden/>
          </w:rPr>
          <w:instrText xml:space="preserve"> PAGEREF _Toc462254384 \h </w:instrText>
        </w:r>
        <w:r w:rsidR="00940DA5">
          <w:rPr>
            <w:noProof/>
            <w:webHidden/>
          </w:rPr>
        </w:r>
        <w:r w:rsidR="00940DA5">
          <w:rPr>
            <w:noProof/>
            <w:webHidden/>
          </w:rPr>
          <w:fldChar w:fldCharType="separate"/>
        </w:r>
        <w:r w:rsidR="00940DA5">
          <w:rPr>
            <w:noProof/>
            <w:webHidden/>
          </w:rPr>
          <w:t>12</w:t>
        </w:r>
        <w:r w:rsidR="00940DA5">
          <w:rPr>
            <w:noProof/>
            <w:webHidden/>
          </w:rPr>
          <w:fldChar w:fldCharType="end"/>
        </w:r>
      </w:hyperlink>
    </w:p>
    <w:p w14:paraId="1A625776" w14:textId="77777777" w:rsidR="00B07717" w:rsidRPr="00161325" w:rsidRDefault="00B4599A" w:rsidP="007D1805">
      <w:pPr>
        <w:pStyle w:val="TableofFigures"/>
      </w:pPr>
      <w:r>
        <w:fldChar w:fldCharType="end"/>
      </w:r>
    </w:p>
    <w:p w14:paraId="49C200CA" w14:textId="77777777" w:rsidR="00790277" w:rsidRPr="0078486B" w:rsidRDefault="00790277" w:rsidP="003274DB">
      <w:pPr>
        <w:rPr>
          <w:lang w:val="fr-FR"/>
        </w:rPr>
        <w:sectPr w:rsidR="00790277" w:rsidRPr="0078486B" w:rsidSect="00C716E5">
          <w:headerReference w:type="even" r:id="rId20"/>
          <w:headerReference w:type="default" r:id="rId21"/>
          <w:headerReference w:type="first" r:id="rId22"/>
          <w:footerReference w:type="first" r:id="rId23"/>
          <w:pgSz w:w="11906" w:h="16838" w:code="9"/>
          <w:pgMar w:top="567" w:right="794" w:bottom="567" w:left="907" w:header="850" w:footer="567" w:gutter="0"/>
          <w:cols w:space="708"/>
          <w:titlePg/>
          <w:docGrid w:linePitch="360"/>
        </w:sectPr>
      </w:pPr>
    </w:p>
    <w:p w14:paraId="32A524B1" w14:textId="77777777" w:rsidR="004944C8" w:rsidRDefault="00ED4450" w:rsidP="00DE2814">
      <w:pPr>
        <w:pStyle w:val="Heading1"/>
      </w:pPr>
      <w:bookmarkStart w:id="4" w:name="_Toc462254349"/>
      <w:commentRangeStart w:id="5"/>
      <w:r>
        <w:lastRenderedPageBreak/>
        <w:t>INTRODUCTION</w:t>
      </w:r>
      <w:commentRangeEnd w:id="5"/>
      <w:r w:rsidR="00795637">
        <w:rPr>
          <w:rStyle w:val="CommentReference"/>
          <w:rFonts w:asciiTheme="minorHAnsi" w:eastAsiaTheme="minorHAnsi" w:hAnsiTheme="minorHAnsi" w:cstheme="minorBidi"/>
          <w:b w:val="0"/>
          <w:bCs w:val="0"/>
          <w:caps w:val="0"/>
          <w:color w:val="auto"/>
        </w:rPr>
        <w:commentReference w:id="5"/>
      </w:r>
      <w:bookmarkEnd w:id="4"/>
    </w:p>
    <w:p w14:paraId="047D75F1" w14:textId="77777777" w:rsidR="004944C8" w:rsidRDefault="004944C8" w:rsidP="004944C8">
      <w:pPr>
        <w:pStyle w:val="Heading1separatationline"/>
      </w:pPr>
    </w:p>
    <w:p w14:paraId="5C2257A5" w14:textId="77777777" w:rsidR="007F4390" w:rsidRDefault="00614F57" w:rsidP="00614F57">
      <w:pPr>
        <w:pStyle w:val="BodyText"/>
      </w:pPr>
      <w:r>
        <w:t xml:space="preserve">Many maritime administrations provide marine beacon differential GNSS correction services.  </w:t>
      </w:r>
      <w:r w:rsidR="007F4390">
        <w:t>IALA Guideline G</w:t>
      </w:r>
      <w:r w:rsidR="007F4390">
        <w:noBreakHyphen/>
        <w:t xml:space="preserve">1112 “Performance and monitoring of DGNSS services in the frequency band 283.5-325 kHz” </w:t>
      </w:r>
      <w:r w:rsidR="009A32FC">
        <w:t>[</w:t>
      </w:r>
      <w:r w:rsidR="009A32FC">
        <w:fldChar w:fldCharType="begin"/>
      </w:r>
      <w:r w:rsidR="009A32FC">
        <w:instrText xml:space="preserve"> REF _Ref459643859 \r \h </w:instrText>
      </w:r>
      <w:r w:rsidR="009A32FC">
        <w:fldChar w:fldCharType="separate"/>
      </w:r>
      <w:r w:rsidR="009A32FC">
        <w:t>1</w:t>
      </w:r>
      <w:r w:rsidR="009A32FC">
        <w:fldChar w:fldCharType="end"/>
      </w:r>
      <w:r w:rsidR="009A32FC">
        <w:t xml:space="preserve">] </w:t>
      </w:r>
      <w:r w:rsidR="007F4390">
        <w:t>recommends that service providers advertise the coverage area of their systems.</w:t>
      </w:r>
    </w:p>
    <w:p w14:paraId="2C893E84" w14:textId="77777777" w:rsidR="00614F57" w:rsidRDefault="00614F57" w:rsidP="00614F57">
      <w:pPr>
        <w:pStyle w:val="Heading1"/>
      </w:pPr>
      <w:bookmarkStart w:id="6" w:name="_Toc462254350"/>
      <w:r>
        <w:t>SCOPE</w:t>
      </w:r>
      <w:bookmarkEnd w:id="6"/>
      <w:r>
        <w:t xml:space="preserve"> </w:t>
      </w:r>
    </w:p>
    <w:p w14:paraId="2830252C" w14:textId="77777777" w:rsidR="00614F57" w:rsidRPr="00614F57" w:rsidRDefault="00614F57" w:rsidP="00614F57">
      <w:pPr>
        <w:pStyle w:val="Heading1separatationline"/>
      </w:pPr>
    </w:p>
    <w:p w14:paraId="5A0ECCF1" w14:textId="3C4CB641" w:rsidR="007F4390" w:rsidRDefault="007F4390" w:rsidP="007F4390">
      <w:pPr>
        <w:pStyle w:val="BodyText"/>
      </w:pPr>
      <w:r>
        <w:t xml:space="preserve">Calculating the coverage area of a radiobeacon is a complex process taking into account the impact of signal attenuation, interference and receiver requirements.   </w:t>
      </w:r>
      <w:r w:rsidR="00061B99">
        <w:t xml:space="preserve">Purpose DGPS </w:t>
      </w:r>
      <w:r>
        <w:t>coverage prediction software</w:t>
      </w:r>
      <w:r w:rsidR="00061B99">
        <w:t xml:space="preserve"> is </w:t>
      </w:r>
      <w:proofErr w:type="gramStart"/>
      <w:r w:rsidR="00061B99">
        <w:t>available,</w:t>
      </w:r>
      <w:proofErr w:type="gramEnd"/>
      <w:r w:rsidR="00061B99">
        <w:t xml:space="preserve"> however</w:t>
      </w:r>
      <w:r>
        <w:t xml:space="preserve">, the aim of this guideline is to provide </w:t>
      </w:r>
      <w:r w:rsidR="00590D2B">
        <w:t>guidance on</w:t>
      </w:r>
      <w:r>
        <w:t xml:space="preserve"> calculating the expected signal strength of a single radiobeacon under different conditions.   Repetition of the approach could then be used to give an indication of coverage regions.   </w:t>
      </w:r>
      <w:r w:rsidR="00590D2B">
        <w:t xml:space="preserve"> Given the complexities involved, readers are encouraged to review the references noted in Section 9.</w:t>
      </w:r>
      <w:r w:rsidR="004E6267">
        <w:t xml:space="preserve">  Administrations seeking a software solution are invited to contact IALA ENAV Committee for further information.</w:t>
      </w:r>
    </w:p>
    <w:p w14:paraId="04D93017" w14:textId="77777777" w:rsidR="0042565E" w:rsidRDefault="00614F57" w:rsidP="00614F57">
      <w:pPr>
        <w:pStyle w:val="Heading1"/>
      </w:pPr>
      <w:bookmarkStart w:id="7" w:name="_Toc462254351"/>
      <w:r>
        <w:t>BACKGROUND</w:t>
      </w:r>
      <w:bookmarkEnd w:id="7"/>
    </w:p>
    <w:p w14:paraId="1B16A379" w14:textId="77777777" w:rsidR="00614F57" w:rsidRDefault="00614F57" w:rsidP="00614F57">
      <w:pPr>
        <w:pStyle w:val="Heading1separatationline"/>
      </w:pPr>
    </w:p>
    <w:p w14:paraId="4E8A0683" w14:textId="236AD00A" w:rsidR="00F8025C" w:rsidRDefault="00F8025C" w:rsidP="00614F57">
      <w:pPr>
        <w:pStyle w:val="BodyText"/>
      </w:pPr>
      <w:r w:rsidRPr="00F8025C">
        <w:t xml:space="preserve">A radiobeacon transmits </w:t>
      </w:r>
      <w:proofErr w:type="spellStart"/>
      <w:r w:rsidRPr="00F8025C">
        <w:t>omni</w:t>
      </w:r>
      <w:proofErr w:type="spellEnd"/>
      <w:r w:rsidRPr="00F8025C">
        <w:t xml:space="preserve">-directionally. Its signal reaches the receiver via two main paths, groundwave and skywave.  The groundwave-propagated component travels over the surface of the Earth. The skywave-propagated one is refracted by the ionosphere. </w:t>
      </w:r>
    </w:p>
    <w:p w14:paraId="2028BA37" w14:textId="4651F1FE" w:rsidR="00BA238C" w:rsidRDefault="004C503B" w:rsidP="004C503B">
      <w:pPr>
        <w:pStyle w:val="BodyText"/>
      </w:pPr>
      <w:r>
        <w:t xml:space="preserve">The coverage of an individual radiobeacon depends upon the </w:t>
      </w:r>
      <w:r w:rsidR="00E9296D">
        <w:t xml:space="preserve">effective radiated </w:t>
      </w:r>
      <w:r>
        <w:t xml:space="preserve">power of the radiobeacon, the attenuation of its </w:t>
      </w:r>
      <w:r w:rsidR="009A32FC">
        <w:t>groundwave and</w:t>
      </w:r>
      <w:r w:rsidR="00590D2B">
        <w:t xml:space="preserve"> skywave </w:t>
      </w:r>
      <w:r>
        <w:t>signal</w:t>
      </w:r>
      <w:r w:rsidR="00590D2B">
        <w:t>s</w:t>
      </w:r>
      <w:r>
        <w:t xml:space="preserve"> as </w:t>
      </w:r>
      <w:r w:rsidR="00590D2B">
        <w:t xml:space="preserve">they </w:t>
      </w:r>
      <w:proofErr w:type="gramStart"/>
      <w:r w:rsidR="00590D2B">
        <w:t>propagate,</w:t>
      </w:r>
      <w:proofErr w:type="gramEnd"/>
      <w:r>
        <w:t xml:space="preserve"> interference from the accompanying time-dependent skywave component, atmospheric noise, and interference from other beacons on the same or adjacent frequencies. </w:t>
      </w:r>
    </w:p>
    <w:p w14:paraId="5477D896" w14:textId="1969D761" w:rsidR="00CE01AA" w:rsidRDefault="00CE01AA" w:rsidP="004C503B">
      <w:pPr>
        <w:pStyle w:val="BodyText"/>
      </w:pPr>
      <w:r>
        <w:t xml:space="preserve">The signal received by the groundwave path is generally used in the receiver due to the shorter distance.  Data received via skywave could still be valid, but is likely to be subject to greater spatial decorrelation error. </w:t>
      </w:r>
    </w:p>
    <w:p w14:paraId="557C95AA" w14:textId="77777777" w:rsidR="007F4390" w:rsidRDefault="007F4390" w:rsidP="0054504B">
      <w:pPr>
        <w:pStyle w:val="Heading2"/>
      </w:pPr>
      <w:bookmarkStart w:id="8" w:name="_Toc462254352"/>
      <w:r>
        <w:t>Groundwave propagation</w:t>
      </w:r>
      <w:bookmarkEnd w:id="8"/>
    </w:p>
    <w:p w14:paraId="278671C0" w14:textId="77777777" w:rsidR="0054504B" w:rsidRDefault="0054504B" w:rsidP="0054504B">
      <w:pPr>
        <w:pStyle w:val="Heading2separationline"/>
      </w:pPr>
    </w:p>
    <w:p w14:paraId="6BC6A82A" w14:textId="11E8CF9C" w:rsidR="0054504B" w:rsidRDefault="00CC41CD" w:rsidP="0054504B">
      <w:pPr>
        <w:pStyle w:val="BodyText"/>
      </w:pPr>
      <w:r>
        <w:t xml:space="preserve">Signals propagating over the ground is attenuated by different amounts, depending on the type of ground.  Seawater has the lowest attenuation, while </w:t>
      </w:r>
      <w:r w:rsidR="00AD47CD">
        <w:t>the signal is attenuated the greatest when crossing glacial</w:t>
      </w:r>
      <w:r>
        <w:t xml:space="preserve">.   The International Telecommunications Union (ITU) provide significant guidance in this area through </w:t>
      </w:r>
      <w:r w:rsidR="00590D2B">
        <w:t>its world atlas of ground conductivities</w:t>
      </w:r>
      <w:r>
        <w:t xml:space="preserve"> [</w:t>
      </w:r>
      <w:r w:rsidR="009A32FC">
        <w:fldChar w:fldCharType="begin"/>
      </w:r>
      <w:r w:rsidR="009A32FC">
        <w:instrText xml:space="preserve"> REF _Ref459643872 \r \h </w:instrText>
      </w:r>
      <w:r w:rsidR="009A32FC">
        <w:fldChar w:fldCharType="separate"/>
      </w:r>
      <w:r w:rsidR="009A32FC">
        <w:t>2</w:t>
      </w:r>
      <w:r w:rsidR="009A32FC">
        <w:fldChar w:fldCharType="end"/>
      </w:r>
      <w:r>
        <w:t>] and propagation curves [</w:t>
      </w:r>
      <w:r w:rsidR="009A32FC">
        <w:fldChar w:fldCharType="begin"/>
      </w:r>
      <w:r w:rsidR="009A32FC">
        <w:instrText xml:space="preserve"> REF _Ref459643881 \r \h </w:instrText>
      </w:r>
      <w:r w:rsidR="009A32FC">
        <w:fldChar w:fldCharType="separate"/>
      </w:r>
      <w:r w:rsidR="009A32FC">
        <w:t>3</w:t>
      </w:r>
      <w:r w:rsidR="009A32FC">
        <w:fldChar w:fldCharType="end"/>
      </w:r>
      <w:r>
        <w:t>].  In order to calculate the expected strength of the groundwave signal the location of the station is required, along with the different ground types that the signal will travel across before reaching the location of interest.</w:t>
      </w:r>
      <w:r w:rsidR="00CE01AA">
        <w:t xml:space="preserve">   </w:t>
      </w:r>
    </w:p>
    <w:p w14:paraId="3F2E5628" w14:textId="77777777" w:rsidR="00CC41CD" w:rsidRDefault="00CC41CD" w:rsidP="0054504B">
      <w:pPr>
        <w:pStyle w:val="BodyText"/>
      </w:pPr>
    </w:p>
    <w:p w14:paraId="6FAC22F5" w14:textId="77777777" w:rsidR="007F4390" w:rsidRDefault="007F4390" w:rsidP="0054504B">
      <w:pPr>
        <w:pStyle w:val="Heading2"/>
      </w:pPr>
      <w:bookmarkStart w:id="9" w:name="_Toc462254353"/>
      <w:r>
        <w:t>Skywave propagation</w:t>
      </w:r>
      <w:bookmarkEnd w:id="9"/>
    </w:p>
    <w:p w14:paraId="39C5F675" w14:textId="77777777" w:rsidR="0054504B" w:rsidRDefault="0054504B" w:rsidP="0054504B">
      <w:pPr>
        <w:pStyle w:val="Heading2separationline"/>
      </w:pPr>
    </w:p>
    <w:p w14:paraId="7A8CBE3E" w14:textId="77777777" w:rsidR="0064634F" w:rsidRPr="0064634F" w:rsidRDefault="0064634F" w:rsidP="0064634F">
      <w:pPr>
        <w:pStyle w:val="BodyText"/>
      </w:pPr>
      <w:r w:rsidRPr="0064634F">
        <w:t xml:space="preserve">At night, signal components propagating </w:t>
      </w:r>
      <w:r w:rsidR="00061B99">
        <w:t xml:space="preserve">via </w:t>
      </w:r>
      <w:r w:rsidRPr="0064634F">
        <w:t xml:space="preserve">skywave reach the receiver by refracting in </w:t>
      </w:r>
      <w:proofErr w:type="spellStart"/>
      <w:r w:rsidRPr="0064634F">
        <w:t>ionospheric</w:t>
      </w:r>
      <w:proofErr w:type="spellEnd"/>
      <w:r w:rsidRPr="0064634F">
        <w:t xml:space="preserve"> layers of the Earth’s atmosphere</w:t>
      </w:r>
      <w:r w:rsidR="00537906">
        <w:t xml:space="preserve"> [</w:t>
      </w:r>
      <w:r w:rsidR="009A32FC">
        <w:fldChar w:fldCharType="begin"/>
      </w:r>
      <w:r w:rsidR="009A32FC">
        <w:instrText xml:space="preserve"> REF _Ref459643888 \r \h </w:instrText>
      </w:r>
      <w:r w:rsidR="009A32FC">
        <w:fldChar w:fldCharType="separate"/>
      </w:r>
      <w:r w:rsidR="009A32FC">
        <w:t>4</w:t>
      </w:r>
      <w:r w:rsidR="009A32FC">
        <w:fldChar w:fldCharType="end"/>
      </w:r>
      <w:r w:rsidR="00537906">
        <w:t>].</w:t>
      </w:r>
      <w:r w:rsidRPr="0064634F">
        <w:t xml:space="preserve"> The Earth’s atmosphere is made up of several layers. </w:t>
      </w:r>
      <w:r w:rsidR="00061B99" w:rsidRPr="0064634F">
        <w:t>The E</w:t>
      </w:r>
      <w:r w:rsidR="00061B99" w:rsidRPr="0064634F">
        <w:noBreakHyphen/>
        <w:t>layer</w:t>
      </w:r>
      <w:r w:rsidRPr="0064634F">
        <w:t xml:space="preserve"> refracts the signal causing skywave propagation.   Since, the height and degree of ionisation of the E-layer depend on solar activity, the strength and delay of the skywave signal changes with time of day and season of the year.   By </w:t>
      </w:r>
      <w:r w:rsidR="00061B99" w:rsidRPr="0064634F">
        <w:t>day,</w:t>
      </w:r>
      <w:r w:rsidRPr="0064634F">
        <w:t xml:space="preserve"> there is very little skywave propagation, principally because the lower D-layer absorbs the skywave component. After </w:t>
      </w:r>
      <w:r w:rsidR="00061B99" w:rsidRPr="0064634F">
        <w:t>sunset,</w:t>
      </w:r>
      <w:r w:rsidRPr="0064634F">
        <w:t xml:space="preserve"> the D-layer gradually dissipates and the skywave signal appears. </w:t>
      </w:r>
    </w:p>
    <w:p w14:paraId="046B4544" w14:textId="77777777" w:rsidR="0054504B" w:rsidRDefault="0064634F" w:rsidP="0064634F">
      <w:pPr>
        <w:pStyle w:val="BodyText"/>
      </w:pPr>
      <w:r>
        <w:t>Skywave s</w:t>
      </w:r>
      <w:r w:rsidR="003D1C51">
        <w:t xml:space="preserve">ignals </w:t>
      </w:r>
      <w:r>
        <w:t>are attenuated less than the groundwave component</w:t>
      </w:r>
      <w:r w:rsidR="003D1C51">
        <w:t xml:space="preserve">, resulting in signals propagating considerably further.  </w:t>
      </w:r>
    </w:p>
    <w:p w14:paraId="224CF52E" w14:textId="77777777" w:rsidR="0045328E" w:rsidRDefault="0045328E" w:rsidP="0064634F">
      <w:pPr>
        <w:pStyle w:val="BodyText"/>
      </w:pPr>
      <w:r>
        <w:lastRenderedPageBreak/>
        <w:t xml:space="preserve">Calculating skywave signal strengths is more complex than calculating groundwave.  Skywave calculations take into account the geomagnetic latitude of the mid-point of the propagation path, therefore the range and bearing of the path is required.  In addition, if the receive antenna or broadcast antenna are within 5km of the sea, there are additional gains which need to be considered.   The ITU provide guidance on how to calculate skywave signal strengths in reference </w:t>
      </w:r>
      <w:r w:rsidR="00537906">
        <w:t>[</w:t>
      </w:r>
      <w:r w:rsidR="009A32FC">
        <w:fldChar w:fldCharType="begin"/>
      </w:r>
      <w:r w:rsidR="009A32FC">
        <w:instrText xml:space="preserve"> REF _Ref459643888 \r \h </w:instrText>
      </w:r>
      <w:r w:rsidR="009A32FC">
        <w:fldChar w:fldCharType="separate"/>
      </w:r>
      <w:r w:rsidR="009A32FC">
        <w:t>4</w:t>
      </w:r>
      <w:r w:rsidR="009A32FC">
        <w:fldChar w:fldCharType="end"/>
      </w:r>
      <w:r w:rsidR="00537906">
        <w:t>]</w:t>
      </w:r>
      <w:r>
        <w:t>.</w:t>
      </w:r>
    </w:p>
    <w:p w14:paraId="7D66B761" w14:textId="77777777" w:rsidR="007F4390" w:rsidRDefault="007F4390" w:rsidP="0054504B">
      <w:pPr>
        <w:pStyle w:val="Heading2"/>
      </w:pPr>
      <w:bookmarkStart w:id="10" w:name="_Ref459644998"/>
      <w:bookmarkStart w:id="11" w:name="_Toc462254354"/>
      <w:r>
        <w:t>Self-fading</w:t>
      </w:r>
      <w:bookmarkEnd w:id="10"/>
      <w:bookmarkEnd w:id="11"/>
    </w:p>
    <w:p w14:paraId="689603FD" w14:textId="77777777" w:rsidR="0054504B" w:rsidRDefault="0054504B" w:rsidP="0054504B">
      <w:pPr>
        <w:pStyle w:val="Heading2separationline"/>
      </w:pPr>
    </w:p>
    <w:p w14:paraId="5E23F592" w14:textId="77777777" w:rsidR="004D0F1B" w:rsidRDefault="003D1C51" w:rsidP="003D1C51">
      <w:pPr>
        <w:pStyle w:val="BodyText"/>
      </w:pPr>
      <w:r>
        <w:t xml:space="preserve">As a broadcast signal can reach the user via two propagation paths of different distances, there is a geographical region where the two signals will both be received and when they are out of phase with each other and the signal cannot be tracked.  The effect of skywave and groundwave interfering with each other’s reception is known as “self-fading”. </w:t>
      </w:r>
      <w:r w:rsidR="00C60E8E">
        <w:t xml:space="preserve">   </w:t>
      </w:r>
      <w:r w:rsidR="004D0F1B">
        <w:t xml:space="preserve">  </w:t>
      </w:r>
    </w:p>
    <w:p w14:paraId="2490DB20" w14:textId="77777777" w:rsidR="005A23FA" w:rsidRDefault="004D0F1B" w:rsidP="003D1C51">
      <w:pPr>
        <w:pStyle w:val="BodyText"/>
      </w:pPr>
      <w:proofErr w:type="gramStart"/>
      <w:r>
        <w:t>The amount of self-fading can be calculated</w:t>
      </w:r>
      <w:r w:rsidR="005A23FA">
        <w:t xml:space="preserve"> through an approach outline by Poppe [</w:t>
      </w:r>
      <w:r w:rsidR="009A32FC">
        <w:fldChar w:fldCharType="begin"/>
      </w:r>
      <w:r w:rsidR="009A32FC">
        <w:instrText xml:space="preserve"> REF _Ref459643916 \r \h </w:instrText>
      </w:r>
      <w:r w:rsidR="009A32FC">
        <w:fldChar w:fldCharType="separate"/>
      </w:r>
      <w:r w:rsidR="009A32FC">
        <w:t>5</w:t>
      </w:r>
      <w:r w:rsidR="009A32FC">
        <w:fldChar w:fldCharType="end"/>
      </w:r>
      <w:r w:rsidR="005A23FA">
        <w:t>], who developed a model of the impact based on distance and a combination of the groundwave and skywave signal strengths</w:t>
      </w:r>
      <w:proofErr w:type="gramEnd"/>
      <w:r w:rsidR="005A23FA">
        <w:t xml:space="preserve">.  </w:t>
      </w:r>
      <w:r w:rsidR="00366ACF">
        <w:t>By calculating the skywave-to-</w:t>
      </w:r>
      <w:proofErr w:type="spellStart"/>
      <w:r w:rsidR="00366ACF">
        <w:t>groundwave</w:t>
      </w:r>
      <w:proofErr w:type="spellEnd"/>
      <w:r w:rsidR="00366ACF">
        <w:t xml:space="preserve"> ratio (SGR)</w:t>
      </w:r>
      <w:r w:rsidR="00061B99">
        <w:t>,</w:t>
      </w:r>
      <w:r w:rsidR="00366ACF">
        <w:t xml:space="preserve"> Poppe predicted the level of fading using the following function:</w:t>
      </w:r>
    </w:p>
    <w:p w14:paraId="6433227B" w14:textId="77777777" w:rsidR="008F2A22" w:rsidRDefault="008F2A22" w:rsidP="003D1C51">
      <w:pPr>
        <w:pStyle w:val="BodyText"/>
      </w:pPr>
    </w:p>
    <w:p w14:paraId="18BEA9F1" w14:textId="77777777" w:rsidR="00B4599A" w:rsidRDefault="00366ACF" w:rsidP="00B4599A">
      <w:pPr>
        <w:keepNext/>
        <w:spacing w:line="360" w:lineRule="auto"/>
        <w:jc w:val="center"/>
      </w:pPr>
      <w:r w:rsidRPr="00366ACF">
        <w:rPr>
          <w:sz w:val="22"/>
        </w:rPr>
        <w:object w:dxaOrig="3540" w:dyaOrig="1780" w14:anchorId="7BF77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7.4pt;height:89.25pt" o:ole="">
            <v:imagedata r:id="rId24" o:title=""/>
          </v:shape>
          <o:OLEObject Type="Embed" ProgID="Equation.DSMT4" ShapeID="_x0000_i1025" DrawAspect="Content" ObjectID="_1536239090" r:id="rId25"/>
        </w:object>
      </w:r>
      <w:r w:rsidRPr="00366ACF">
        <w:rPr>
          <w:sz w:val="22"/>
        </w:rPr>
        <w:t xml:space="preserve"> </w:t>
      </w:r>
      <w:r w:rsidRPr="00366ACF">
        <w:rPr>
          <w:sz w:val="22"/>
        </w:rPr>
        <w:object w:dxaOrig="1880" w:dyaOrig="1540" w14:anchorId="601A1D87">
          <v:shape id="_x0000_i1026" type="#_x0000_t75" style="width:101.25pt;height:84pt" o:ole="">
            <v:imagedata r:id="rId26" o:title=""/>
          </v:shape>
          <o:OLEObject Type="Embed" ProgID="Equation.DSMT4" ShapeID="_x0000_i1026" DrawAspect="Content" ObjectID="_1536239091" r:id="rId27"/>
        </w:object>
      </w:r>
    </w:p>
    <w:p w14:paraId="658A538C" w14:textId="77777777" w:rsidR="00366ACF" w:rsidRPr="00366ACF" w:rsidRDefault="00B4599A" w:rsidP="00B4599A">
      <w:pPr>
        <w:pStyle w:val="Caption"/>
        <w:jc w:val="center"/>
      </w:pPr>
      <w:bookmarkStart w:id="12" w:name="_Toc462254379"/>
      <w:r>
        <w:t xml:space="preserve">Equation </w:t>
      </w:r>
      <w:r>
        <w:fldChar w:fldCharType="begin"/>
      </w:r>
      <w:r>
        <w:instrText xml:space="preserve"> SEQ Equation \* ARABIC </w:instrText>
      </w:r>
      <w:r>
        <w:fldChar w:fldCharType="separate"/>
      </w:r>
      <w:r>
        <w:rPr>
          <w:noProof/>
        </w:rPr>
        <w:t>1</w:t>
      </w:r>
      <w:r>
        <w:fldChar w:fldCharType="end"/>
      </w:r>
      <w:r>
        <w:t>: Self-fading levels as defined by Poppe [</w:t>
      </w:r>
      <w:r>
        <w:fldChar w:fldCharType="begin"/>
      </w:r>
      <w:r>
        <w:instrText xml:space="preserve"> REF _Ref459643916 \r \h </w:instrText>
      </w:r>
      <w:r>
        <w:fldChar w:fldCharType="separate"/>
      </w:r>
      <w:r>
        <w:t>5</w:t>
      </w:r>
      <w:r>
        <w:fldChar w:fldCharType="end"/>
      </w:r>
      <w:r>
        <w:t>]</w:t>
      </w:r>
      <w:bookmarkEnd w:id="12"/>
    </w:p>
    <w:p w14:paraId="06B40944" w14:textId="77777777" w:rsidR="00366ACF" w:rsidRPr="00366ACF" w:rsidRDefault="00366ACF" w:rsidP="00366ACF">
      <w:pPr>
        <w:spacing w:line="360" w:lineRule="auto"/>
        <w:jc w:val="center"/>
        <w:rPr>
          <w:sz w:val="22"/>
        </w:rPr>
      </w:pPr>
    </w:p>
    <w:p w14:paraId="43D41C4B" w14:textId="77777777" w:rsidR="00366ACF" w:rsidRPr="00366ACF" w:rsidRDefault="00366ACF" w:rsidP="00366ACF">
      <w:pPr>
        <w:pStyle w:val="BodyText"/>
        <w:spacing w:line="360" w:lineRule="auto"/>
      </w:pPr>
      <w:proofErr w:type="gramStart"/>
      <w:r w:rsidRPr="00366ACF">
        <w:t>where</w:t>
      </w:r>
      <w:proofErr w:type="gramEnd"/>
      <w:r w:rsidRPr="00366ACF">
        <w:t>:</w:t>
      </w:r>
    </w:p>
    <w:p w14:paraId="3B4E31A1" w14:textId="77777777" w:rsidR="00366ACF" w:rsidRPr="00366ACF" w:rsidRDefault="00366ACF" w:rsidP="00366ACF">
      <w:pPr>
        <w:spacing w:line="360" w:lineRule="auto"/>
        <w:jc w:val="center"/>
        <w:rPr>
          <w:sz w:val="22"/>
        </w:rPr>
      </w:pPr>
      <w:r w:rsidRPr="00366ACF">
        <w:rPr>
          <w:sz w:val="22"/>
        </w:rPr>
        <w:object w:dxaOrig="6060" w:dyaOrig="380" w14:anchorId="64EB9F14">
          <v:shape id="_x0000_i1027" type="#_x0000_t75" style="width:303.4pt;height:19.5pt" o:ole="">
            <v:imagedata r:id="rId28" o:title=""/>
          </v:shape>
          <o:OLEObject Type="Embed" ProgID="Equation.DSMT4" ShapeID="_x0000_i1027" DrawAspect="Content" ObjectID="_1536239092" r:id="rId29"/>
        </w:object>
      </w:r>
    </w:p>
    <w:p w14:paraId="41D2B2CC" w14:textId="77777777" w:rsidR="00366ACF" w:rsidRPr="00366ACF" w:rsidRDefault="00366ACF" w:rsidP="00366ACF">
      <w:pPr>
        <w:spacing w:line="360" w:lineRule="auto"/>
        <w:jc w:val="center"/>
        <w:rPr>
          <w:sz w:val="22"/>
        </w:rPr>
      </w:pPr>
      <w:r w:rsidRPr="00366ACF">
        <w:rPr>
          <w:sz w:val="22"/>
        </w:rPr>
        <w:object w:dxaOrig="7440" w:dyaOrig="380" w14:anchorId="3E42B6B4">
          <v:shape id="_x0000_i1028" type="#_x0000_t75" style="width:372pt;height:19.5pt" o:ole="">
            <v:imagedata r:id="rId30" o:title=""/>
          </v:shape>
          <o:OLEObject Type="Embed" ProgID="Equation.DSMT4" ShapeID="_x0000_i1028" DrawAspect="Content" ObjectID="_1536239093" r:id="rId31"/>
        </w:object>
      </w:r>
    </w:p>
    <w:p w14:paraId="4B22169F" w14:textId="77777777" w:rsidR="00366ACF" w:rsidRDefault="00366ACF" w:rsidP="003D1C51">
      <w:pPr>
        <w:pStyle w:val="BodyText"/>
      </w:pPr>
    </w:p>
    <w:p w14:paraId="75CABBC8" w14:textId="77777777" w:rsidR="007F4390" w:rsidRDefault="007F4390" w:rsidP="0054504B">
      <w:pPr>
        <w:pStyle w:val="Heading2"/>
      </w:pPr>
      <w:bookmarkStart w:id="13" w:name="_Toc462254355"/>
      <w:r>
        <w:t>Atmospheric noise</w:t>
      </w:r>
      <w:bookmarkEnd w:id="13"/>
    </w:p>
    <w:p w14:paraId="7D92E8AE" w14:textId="77777777" w:rsidR="0054504B" w:rsidRDefault="0054504B" w:rsidP="0054504B">
      <w:pPr>
        <w:pStyle w:val="Heading2separationline"/>
      </w:pPr>
    </w:p>
    <w:p w14:paraId="07F55353" w14:textId="77777777" w:rsidR="004D0F1B" w:rsidRDefault="004D0F1B" w:rsidP="004D0F1B">
      <w:pPr>
        <w:pStyle w:val="BodyText"/>
      </w:pPr>
      <w:r>
        <w:t>As with any radio system, background atmospheric noise can affect signal reception.  The ITU has models of atmospheric noise for the world broken d</w:t>
      </w:r>
      <w:r w:rsidR="00366ACF">
        <w:t>own to different season and</w:t>
      </w:r>
      <w:r>
        <w:t xml:space="preserve"> periods</w:t>
      </w:r>
      <w:r w:rsidR="00366ACF">
        <w:t xml:space="preserve"> of the day</w:t>
      </w:r>
      <w:r w:rsidR="00537906">
        <w:t xml:space="preserve"> [</w:t>
      </w:r>
      <w:r w:rsidR="009A32FC">
        <w:fldChar w:fldCharType="begin"/>
      </w:r>
      <w:r w:rsidR="009A32FC">
        <w:instrText xml:space="preserve"> REF _Ref459643926 \r \h </w:instrText>
      </w:r>
      <w:r w:rsidR="009A32FC">
        <w:fldChar w:fldCharType="separate"/>
      </w:r>
      <w:r w:rsidR="009A32FC">
        <w:t>6</w:t>
      </w:r>
      <w:r w:rsidR="009A32FC">
        <w:fldChar w:fldCharType="end"/>
      </w:r>
      <w:r w:rsidR="00537906">
        <w:t>]</w:t>
      </w:r>
      <w:r w:rsidR="00366ACF">
        <w:t xml:space="preserve">.  It also provides conversion factors to convert the noise levels to different frequencies and probability levels.  At </w:t>
      </w:r>
      <w:r w:rsidR="00061B99">
        <w:t>300 kHz</w:t>
      </w:r>
      <w:r w:rsidR="00EE3B4D">
        <w:t xml:space="preserve"> frequencies, atmospheric</w:t>
      </w:r>
      <w:r>
        <w:t xml:space="preserve"> noise </w:t>
      </w:r>
      <w:r w:rsidR="00EE3B4D">
        <w:t>increases</w:t>
      </w:r>
      <w:r>
        <w:t xml:space="preserve"> towards the equator and over winter months.   </w:t>
      </w:r>
    </w:p>
    <w:p w14:paraId="698A5138" w14:textId="77777777" w:rsidR="004D0F1B" w:rsidRDefault="004D0F1B" w:rsidP="004D0F1B">
      <w:pPr>
        <w:pStyle w:val="BodyText"/>
      </w:pPr>
      <w:r>
        <w:t>Rath</w:t>
      </w:r>
      <w:r w:rsidR="00366ACF">
        <w:t>er than define coverage over different seasons</w:t>
      </w:r>
      <w:r>
        <w:t xml:space="preserve"> it is recommended that the annual average atmospheric noise</w:t>
      </w:r>
      <w:r w:rsidR="00366ACF">
        <w:t xml:space="preserve"> figure</w:t>
      </w:r>
      <w:r w:rsidR="00EE3B4D">
        <w:t>, not exceeded 95% of the time,</w:t>
      </w:r>
      <w:r>
        <w:t xml:space="preserve"> </w:t>
      </w:r>
      <w:proofErr w:type="gramStart"/>
      <w:r w:rsidR="00EE3B4D">
        <w:t>is</w:t>
      </w:r>
      <w:proofErr w:type="gramEnd"/>
      <w:r w:rsidR="00EE3B4D">
        <w:t xml:space="preserve"> calculated</w:t>
      </w:r>
      <w:r w:rsidR="00366ACF">
        <w:t>.</w:t>
      </w:r>
      <w:r w:rsidR="00EE3B4D">
        <w:t xml:space="preserve">  </w:t>
      </w:r>
      <w:r w:rsidR="00366ACF">
        <w:t xml:space="preserve">  </w:t>
      </w:r>
      <w:r w:rsidR="00FA2DDD">
        <w:fldChar w:fldCharType="begin"/>
      </w:r>
      <w:r w:rsidR="00FA2DDD">
        <w:instrText xml:space="preserve"> REF _Ref459644502 \h </w:instrText>
      </w:r>
      <w:r w:rsidR="00FA2DDD">
        <w:fldChar w:fldCharType="separate"/>
      </w:r>
      <w:r w:rsidR="00FA2DDD">
        <w:t xml:space="preserve">Table </w:t>
      </w:r>
      <w:r w:rsidR="00FA2DDD">
        <w:rPr>
          <w:noProof/>
        </w:rPr>
        <w:t>1</w:t>
      </w:r>
      <w:r w:rsidR="00FA2DDD">
        <w:fldChar w:fldCharType="end"/>
      </w:r>
      <w:r w:rsidR="00FA2DDD">
        <w:t xml:space="preserve"> </w:t>
      </w:r>
      <w:r w:rsidR="00473303">
        <w:t xml:space="preserve">shows the calculated noise level for the European Maritime Area </w:t>
      </w:r>
      <w:r w:rsidR="00CD6397">
        <w:t xml:space="preserve">(EMA) </w:t>
      </w:r>
      <w:r w:rsidR="00473303">
        <w:t>and surrounding regions</w:t>
      </w:r>
      <w:r w:rsidR="00537906">
        <w:t xml:space="preserve"> [</w:t>
      </w:r>
      <w:r w:rsidR="009A32FC">
        <w:fldChar w:fldCharType="begin"/>
      </w:r>
      <w:r w:rsidR="009A32FC">
        <w:instrText xml:space="preserve"> REF _Ref459644001 \r \h </w:instrText>
      </w:r>
      <w:r w:rsidR="009A32FC">
        <w:fldChar w:fldCharType="separate"/>
      </w:r>
      <w:r w:rsidR="009A32FC">
        <w:t>7</w:t>
      </w:r>
      <w:r w:rsidR="009A32FC">
        <w:fldChar w:fldCharType="end"/>
      </w:r>
      <w:r w:rsidR="00537906">
        <w:t>]</w:t>
      </w:r>
      <w:r w:rsidR="00473303">
        <w:t>.</w:t>
      </w:r>
      <w:r w:rsidR="00366ACF">
        <w:t xml:space="preserve">   Annual average noise</w:t>
      </w:r>
      <w:r w:rsidR="00FA2DDD">
        <w:t xml:space="preserve"> figures</w:t>
      </w:r>
      <w:r w:rsidR="00366ACF">
        <w:t xml:space="preserve"> not exceeded 95% </w:t>
      </w:r>
      <w:r w:rsidR="00EE3B4D">
        <w:t xml:space="preserve">of the time, </w:t>
      </w:r>
      <w:r w:rsidR="00366ACF">
        <w:t xml:space="preserve">for other areas can be calculated </w:t>
      </w:r>
      <w:r w:rsidR="00EE3B4D">
        <w:t xml:space="preserve">using guidance provided by </w:t>
      </w:r>
      <w:r w:rsidR="00537906">
        <w:t>references [</w:t>
      </w:r>
      <w:r w:rsidR="009A32FC">
        <w:fldChar w:fldCharType="begin"/>
      </w:r>
      <w:r w:rsidR="009A32FC">
        <w:instrText xml:space="preserve"> REF _Ref459643926 \r \h </w:instrText>
      </w:r>
      <w:r w:rsidR="009A32FC">
        <w:fldChar w:fldCharType="separate"/>
      </w:r>
      <w:r w:rsidR="009A32FC">
        <w:t>6</w:t>
      </w:r>
      <w:r w:rsidR="009A32FC">
        <w:fldChar w:fldCharType="end"/>
      </w:r>
      <w:r w:rsidR="009A32FC">
        <w:t xml:space="preserve">, </w:t>
      </w:r>
      <w:r w:rsidR="009A32FC">
        <w:fldChar w:fldCharType="begin"/>
      </w:r>
      <w:r w:rsidR="009A32FC">
        <w:instrText xml:space="preserve"> REF _Ref459644001 \r \h </w:instrText>
      </w:r>
      <w:r w:rsidR="009A32FC">
        <w:fldChar w:fldCharType="separate"/>
      </w:r>
      <w:r w:rsidR="009A32FC">
        <w:t>7</w:t>
      </w:r>
      <w:r w:rsidR="009A32FC">
        <w:fldChar w:fldCharType="end"/>
      </w:r>
      <w:r w:rsidR="00EE3B4D">
        <w:t>]</w:t>
      </w:r>
      <w:r w:rsidR="00473303">
        <w:t>.</w:t>
      </w:r>
    </w:p>
    <w:p w14:paraId="7A5AC8C7" w14:textId="77777777" w:rsidR="00366ACF" w:rsidRDefault="00366ACF" w:rsidP="004D0F1B">
      <w:pPr>
        <w:pStyle w:val="BodyText"/>
      </w:pPr>
    </w:p>
    <w:p w14:paraId="0ABF19B4" w14:textId="77777777" w:rsidR="00940DA5" w:rsidRDefault="00940DA5" w:rsidP="004D0F1B">
      <w:pPr>
        <w:pStyle w:val="BodyText"/>
      </w:pPr>
    </w:p>
    <w:p w14:paraId="6049C995" w14:textId="77777777" w:rsidR="00940DA5" w:rsidRDefault="00940DA5" w:rsidP="004D0F1B">
      <w:pPr>
        <w:pStyle w:val="BodyText"/>
      </w:pPr>
    </w:p>
    <w:p w14:paraId="09C74601" w14:textId="77777777" w:rsidR="00940DA5" w:rsidRDefault="00940DA5" w:rsidP="004D0F1B">
      <w:pPr>
        <w:pStyle w:val="BodyText"/>
      </w:pPr>
    </w:p>
    <w:p w14:paraId="07D568AB" w14:textId="77777777" w:rsidR="008F2A22" w:rsidRDefault="008F2A22" w:rsidP="008F2A22">
      <w:pPr>
        <w:pStyle w:val="Caption"/>
        <w:keepNext/>
        <w:jc w:val="center"/>
      </w:pPr>
      <w:bookmarkStart w:id="14" w:name="_Ref459644502"/>
      <w:bookmarkStart w:id="15" w:name="_Toc462254371"/>
      <w:r>
        <w:lastRenderedPageBreak/>
        <w:t xml:space="preserve">Table </w:t>
      </w:r>
      <w:r>
        <w:fldChar w:fldCharType="begin"/>
      </w:r>
      <w:r>
        <w:instrText xml:space="preserve"> SEQ Table \* ARABIC </w:instrText>
      </w:r>
      <w:r>
        <w:fldChar w:fldCharType="separate"/>
      </w:r>
      <w:r>
        <w:rPr>
          <w:noProof/>
        </w:rPr>
        <w:t>1</w:t>
      </w:r>
      <w:r>
        <w:fldChar w:fldCharType="end"/>
      </w:r>
      <w:bookmarkEnd w:id="14"/>
      <w:r>
        <w:t xml:space="preserve">: </w:t>
      </w:r>
      <w:r>
        <w:rPr>
          <w:i w:val="0"/>
          <w:iCs/>
        </w:rPr>
        <w:t xml:space="preserve">Annual average noise values not </w:t>
      </w:r>
      <w:r w:rsidR="00061B99">
        <w:rPr>
          <w:i w:val="0"/>
          <w:iCs/>
        </w:rPr>
        <w:t>exceeded 95</w:t>
      </w:r>
      <w:r>
        <w:rPr>
          <w:i w:val="0"/>
          <w:iCs/>
        </w:rPr>
        <w:t xml:space="preserve">% of the time, in </w:t>
      </w:r>
      <w:proofErr w:type="spellStart"/>
      <w:r>
        <w:rPr>
          <w:i w:val="0"/>
          <w:iCs/>
        </w:rPr>
        <w:t>dB</w:t>
      </w:r>
      <w:r>
        <w:rPr>
          <w:rFonts w:ascii="Symbol" w:hAnsi="Symbol"/>
          <w:i w:val="0"/>
          <w:iCs/>
        </w:rPr>
        <w:t></w:t>
      </w:r>
      <w:r>
        <w:rPr>
          <w:i w:val="0"/>
          <w:iCs/>
        </w:rPr>
        <w:t>V</w:t>
      </w:r>
      <w:proofErr w:type="spellEnd"/>
      <w:r>
        <w:rPr>
          <w:i w:val="0"/>
          <w:iCs/>
        </w:rPr>
        <w:t>/m [</w:t>
      </w:r>
      <w:r>
        <w:rPr>
          <w:i w:val="0"/>
          <w:iCs/>
        </w:rPr>
        <w:fldChar w:fldCharType="begin"/>
      </w:r>
      <w:r>
        <w:rPr>
          <w:i w:val="0"/>
          <w:iCs/>
        </w:rPr>
        <w:instrText xml:space="preserve"> REF _Ref459644001 \r \h </w:instrText>
      </w:r>
      <w:r>
        <w:rPr>
          <w:i w:val="0"/>
          <w:iCs/>
        </w:rPr>
      </w:r>
      <w:r>
        <w:rPr>
          <w:i w:val="0"/>
          <w:iCs/>
        </w:rPr>
        <w:fldChar w:fldCharType="separate"/>
      </w:r>
      <w:r>
        <w:rPr>
          <w:i w:val="0"/>
          <w:iCs/>
        </w:rPr>
        <w:t>7</w:t>
      </w:r>
      <w:r>
        <w:rPr>
          <w:i w:val="0"/>
          <w:iCs/>
        </w:rPr>
        <w:fldChar w:fldCharType="end"/>
      </w:r>
      <w:r>
        <w:rPr>
          <w:i w:val="0"/>
          <w:iCs/>
        </w:rPr>
        <w:t>].</w:t>
      </w:r>
      <w:bookmarkEnd w:id="15"/>
    </w:p>
    <w:tbl>
      <w:tblPr>
        <w:tblW w:w="0" w:type="auto"/>
        <w:jc w:val="center"/>
        <w:tblLayout w:type="fixed"/>
        <w:tblCellMar>
          <w:left w:w="0" w:type="dxa"/>
          <w:right w:w="0" w:type="dxa"/>
        </w:tblCellMar>
        <w:tblLook w:val="0000" w:firstRow="0" w:lastRow="0" w:firstColumn="0" w:lastColumn="0" w:noHBand="0" w:noVBand="0"/>
      </w:tblPr>
      <w:tblGrid>
        <w:gridCol w:w="355"/>
        <w:gridCol w:w="579"/>
        <w:gridCol w:w="580"/>
        <w:gridCol w:w="579"/>
        <w:gridCol w:w="580"/>
        <w:gridCol w:w="580"/>
        <w:gridCol w:w="579"/>
        <w:gridCol w:w="580"/>
        <w:gridCol w:w="580"/>
        <w:gridCol w:w="579"/>
        <w:gridCol w:w="580"/>
        <w:gridCol w:w="580"/>
        <w:gridCol w:w="579"/>
        <w:gridCol w:w="580"/>
        <w:gridCol w:w="580"/>
      </w:tblGrid>
      <w:tr w:rsidR="00366ACF" w14:paraId="4DBE77D0" w14:textId="77777777" w:rsidTr="00C22EDC">
        <w:trPr>
          <w:trHeight w:val="255"/>
          <w:jc w:val="center"/>
        </w:trPr>
        <w:tc>
          <w:tcPr>
            <w:tcW w:w="355" w:type="dxa"/>
            <w:tcBorders>
              <w:top w:val="single" w:sz="4" w:space="0" w:color="auto"/>
              <w:left w:val="single" w:sz="4" w:space="0" w:color="auto"/>
              <w:bottom w:val="single" w:sz="4" w:space="0" w:color="auto"/>
              <w:right w:val="single" w:sz="4" w:space="0" w:color="auto"/>
            </w:tcBorders>
            <w:shd w:val="clear" w:color="auto" w:fill="C0C0C0"/>
            <w:vAlign w:val="bottom"/>
          </w:tcPr>
          <w:p w14:paraId="211D0AAA" w14:textId="77777777" w:rsidR="00366ACF" w:rsidRDefault="00366ACF" w:rsidP="00C22EDC">
            <w:pPr>
              <w:jc w:val="center"/>
              <w:rPr>
                <w:rFonts w:eastAsia="Arial Unicode MS"/>
                <w:b/>
                <w:sz w:val="20"/>
              </w:rPr>
            </w:pPr>
          </w:p>
        </w:tc>
        <w:tc>
          <w:tcPr>
            <w:tcW w:w="579" w:type="dxa"/>
            <w:tcBorders>
              <w:top w:val="single" w:sz="4" w:space="0" w:color="auto"/>
              <w:left w:val="nil"/>
              <w:bottom w:val="single" w:sz="4" w:space="0" w:color="auto"/>
              <w:right w:val="single" w:sz="4" w:space="0" w:color="auto"/>
            </w:tcBorders>
            <w:shd w:val="clear" w:color="auto" w:fill="C0C0C0"/>
            <w:vAlign w:val="bottom"/>
          </w:tcPr>
          <w:p w14:paraId="722EEB7B" w14:textId="77777777" w:rsidR="00366ACF" w:rsidRDefault="00366ACF" w:rsidP="00C22EDC">
            <w:pPr>
              <w:jc w:val="center"/>
              <w:rPr>
                <w:rFonts w:eastAsia="Arial Unicode MS"/>
                <w:b/>
                <w:sz w:val="20"/>
              </w:rPr>
            </w:pPr>
            <w:r>
              <w:rPr>
                <w:b/>
                <w:sz w:val="20"/>
              </w:rPr>
              <w:t>-50</w:t>
            </w:r>
          </w:p>
        </w:tc>
        <w:tc>
          <w:tcPr>
            <w:tcW w:w="580" w:type="dxa"/>
            <w:tcBorders>
              <w:top w:val="single" w:sz="4" w:space="0" w:color="auto"/>
              <w:left w:val="nil"/>
              <w:bottom w:val="single" w:sz="4" w:space="0" w:color="auto"/>
              <w:right w:val="single" w:sz="4" w:space="0" w:color="auto"/>
            </w:tcBorders>
            <w:shd w:val="clear" w:color="auto" w:fill="C0C0C0"/>
            <w:vAlign w:val="bottom"/>
          </w:tcPr>
          <w:p w14:paraId="0D0CB1B7" w14:textId="77777777" w:rsidR="00366ACF" w:rsidRDefault="00366ACF" w:rsidP="00C22EDC">
            <w:pPr>
              <w:jc w:val="center"/>
              <w:rPr>
                <w:rFonts w:eastAsia="Arial Unicode MS"/>
                <w:b/>
                <w:sz w:val="20"/>
              </w:rPr>
            </w:pPr>
            <w:r>
              <w:rPr>
                <w:b/>
                <w:sz w:val="20"/>
              </w:rPr>
              <w:t>-40</w:t>
            </w:r>
          </w:p>
        </w:tc>
        <w:tc>
          <w:tcPr>
            <w:tcW w:w="579" w:type="dxa"/>
            <w:tcBorders>
              <w:top w:val="single" w:sz="4" w:space="0" w:color="auto"/>
              <w:left w:val="nil"/>
              <w:bottom w:val="single" w:sz="4" w:space="0" w:color="auto"/>
              <w:right w:val="single" w:sz="4" w:space="0" w:color="auto"/>
            </w:tcBorders>
            <w:shd w:val="clear" w:color="auto" w:fill="C0C0C0"/>
            <w:vAlign w:val="bottom"/>
          </w:tcPr>
          <w:p w14:paraId="3B0A7FD7" w14:textId="77777777" w:rsidR="00366ACF" w:rsidRDefault="00366ACF" w:rsidP="00C22EDC">
            <w:pPr>
              <w:jc w:val="center"/>
              <w:rPr>
                <w:rFonts w:eastAsia="Arial Unicode MS"/>
                <w:b/>
                <w:sz w:val="20"/>
              </w:rPr>
            </w:pPr>
            <w:r>
              <w:rPr>
                <w:b/>
                <w:sz w:val="20"/>
              </w:rPr>
              <w:t>-30</w:t>
            </w:r>
          </w:p>
        </w:tc>
        <w:tc>
          <w:tcPr>
            <w:tcW w:w="580" w:type="dxa"/>
            <w:tcBorders>
              <w:top w:val="single" w:sz="4" w:space="0" w:color="auto"/>
              <w:left w:val="nil"/>
              <w:bottom w:val="single" w:sz="4" w:space="0" w:color="auto"/>
              <w:right w:val="single" w:sz="4" w:space="0" w:color="auto"/>
            </w:tcBorders>
            <w:shd w:val="clear" w:color="auto" w:fill="C0C0C0"/>
            <w:vAlign w:val="bottom"/>
          </w:tcPr>
          <w:p w14:paraId="1CD72417" w14:textId="77777777" w:rsidR="00366ACF" w:rsidRDefault="00366ACF" w:rsidP="00C22EDC">
            <w:pPr>
              <w:jc w:val="center"/>
              <w:rPr>
                <w:rFonts w:eastAsia="Arial Unicode MS"/>
                <w:b/>
                <w:sz w:val="20"/>
              </w:rPr>
            </w:pPr>
            <w:r>
              <w:rPr>
                <w:b/>
                <w:sz w:val="20"/>
              </w:rPr>
              <w:t>-20</w:t>
            </w:r>
          </w:p>
        </w:tc>
        <w:tc>
          <w:tcPr>
            <w:tcW w:w="580" w:type="dxa"/>
            <w:tcBorders>
              <w:top w:val="single" w:sz="4" w:space="0" w:color="auto"/>
              <w:left w:val="nil"/>
              <w:bottom w:val="single" w:sz="4" w:space="0" w:color="auto"/>
              <w:right w:val="single" w:sz="4" w:space="0" w:color="auto"/>
            </w:tcBorders>
            <w:shd w:val="clear" w:color="auto" w:fill="C0C0C0"/>
            <w:vAlign w:val="bottom"/>
          </w:tcPr>
          <w:p w14:paraId="049036B0" w14:textId="77777777" w:rsidR="00366ACF" w:rsidRDefault="00366ACF" w:rsidP="00C22EDC">
            <w:pPr>
              <w:jc w:val="center"/>
              <w:rPr>
                <w:rFonts w:eastAsia="Arial Unicode MS"/>
                <w:b/>
                <w:sz w:val="20"/>
              </w:rPr>
            </w:pPr>
            <w:r>
              <w:rPr>
                <w:b/>
                <w:sz w:val="20"/>
              </w:rPr>
              <w:t>-10</w:t>
            </w:r>
          </w:p>
        </w:tc>
        <w:tc>
          <w:tcPr>
            <w:tcW w:w="579" w:type="dxa"/>
            <w:tcBorders>
              <w:top w:val="single" w:sz="4" w:space="0" w:color="auto"/>
              <w:left w:val="nil"/>
              <w:bottom w:val="single" w:sz="4" w:space="0" w:color="auto"/>
              <w:right w:val="single" w:sz="4" w:space="0" w:color="auto"/>
            </w:tcBorders>
            <w:shd w:val="clear" w:color="auto" w:fill="C0C0C0"/>
            <w:vAlign w:val="bottom"/>
          </w:tcPr>
          <w:p w14:paraId="2B8EB77C" w14:textId="77777777" w:rsidR="00366ACF" w:rsidRDefault="00366ACF" w:rsidP="00C22EDC">
            <w:pPr>
              <w:jc w:val="center"/>
              <w:rPr>
                <w:rFonts w:eastAsia="Arial Unicode MS"/>
                <w:b/>
                <w:sz w:val="20"/>
              </w:rPr>
            </w:pPr>
            <w:r>
              <w:rPr>
                <w:b/>
                <w:sz w:val="20"/>
              </w:rPr>
              <w:t>0</w:t>
            </w:r>
          </w:p>
        </w:tc>
        <w:tc>
          <w:tcPr>
            <w:tcW w:w="580" w:type="dxa"/>
            <w:tcBorders>
              <w:top w:val="single" w:sz="4" w:space="0" w:color="auto"/>
              <w:left w:val="nil"/>
              <w:bottom w:val="single" w:sz="4" w:space="0" w:color="auto"/>
              <w:right w:val="single" w:sz="4" w:space="0" w:color="auto"/>
            </w:tcBorders>
            <w:shd w:val="clear" w:color="auto" w:fill="C0C0C0"/>
            <w:vAlign w:val="bottom"/>
          </w:tcPr>
          <w:p w14:paraId="1D21D6B5" w14:textId="77777777" w:rsidR="00366ACF" w:rsidRDefault="00366ACF" w:rsidP="00C22EDC">
            <w:pPr>
              <w:jc w:val="center"/>
              <w:rPr>
                <w:rFonts w:eastAsia="Arial Unicode MS"/>
                <w:b/>
                <w:sz w:val="20"/>
              </w:rPr>
            </w:pPr>
            <w:r>
              <w:rPr>
                <w:b/>
                <w:sz w:val="20"/>
              </w:rPr>
              <w:t>10</w:t>
            </w:r>
          </w:p>
        </w:tc>
        <w:tc>
          <w:tcPr>
            <w:tcW w:w="580" w:type="dxa"/>
            <w:tcBorders>
              <w:top w:val="single" w:sz="4" w:space="0" w:color="auto"/>
              <w:left w:val="nil"/>
              <w:bottom w:val="single" w:sz="4" w:space="0" w:color="auto"/>
              <w:right w:val="single" w:sz="4" w:space="0" w:color="auto"/>
            </w:tcBorders>
            <w:shd w:val="clear" w:color="auto" w:fill="C0C0C0"/>
            <w:vAlign w:val="bottom"/>
          </w:tcPr>
          <w:p w14:paraId="36369C3F" w14:textId="77777777" w:rsidR="00366ACF" w:rsidRDefault="00366ACF" w:rsidP="00C22EDC">
            <w:pPr>
              <w:jc w:val="center"/>
              <w:rPr>
                <w:rFonts w:eastAsia="Arial Unicode MS"/>
                <w:b/>
                <w:sz w:val="20"/>
              </w:rPr>
            </w:pPr>
            <w:r>
              <w:rPr>
                <w:b/>
                <w:sz w:val="20"/>
              </w:rPr>
              <w:t>20</w:t>
            </w:r>
          </w:p>
        </w:tc>
        <w:tc>
          <w:tcPr>
            <w:tcW w:w="579" w:type="dxa"/>
            <w:tcBorders>
              <w:top w:val="single" w:sz="4" w:space="0" w:color="auto"/>
              <w:left w:val="nil"/>
              <w:bottom w:val="single" w:sz="4" w:space="0" w:color="auto"/>
              <w:right w:val="single" w:sz="4" w:space="0" w:color="auto"/>
            </w:tcBorders>
            <w:shd w:val="clear" w:color="auto" w:fill="C0C0C0"/>
            <w:vAlign w:val="bottom"/>
          </w:tcPr>
          <w:p w14:paraId="6814E318" w14:textId="77777777" w:rsidR="00366ACF" w:rsidRDefault="00366ACF" w:rsidP="00C22EDC">
            <w:pPr>
              <w:jc w:val="center"/>
              <w:rPr>
                <w:rFonts w:eastAsia="Arial Unicode MS"/>
                <w:b/>
                <w:sz w:val="20"/>
              </w:rPr>
            </w:pPr>
            <w:r>
              <w:rPr>
                <w:b/>
                <w:sz w:val="20"/>
              </w:rPr>
              <w:t>30</w:t>
            </w:r>
          </w:p>
        </w:tc>
        <w:tc>
          <w:tcPr>
            <w:tcW w:w="580" w:type="dxa"/>
            <w:tcBorders>
              <w:top w:val="single" w:sz="4" w:space="0" w:color="auto"/>
              <w:left w:val="nil"/>
              <w:bottom w:val="single" w:sz="4" w:space="0" w:color="auto"/>
              <w:right w:val="single" w:sz="4" w:space="0" w:color="auto"/>
            </w:tcBorders>
            <w:shd w:val="clear" w:color="auto" w:fill="C0C0C0"/>
            <w:vAlign w:val="bottom"/>
          </w:tcPr>
          <w:p w14:paraId="0458F121" w14:textId="77777777" w:rsidR="00366ACF" w:rsidRDefault="00366ACF" w:rsidP="00C22EDC">
            <w:pPr>
              <w:jc w:val="center"/>
              <w:rPr>
                <w:rFonts w:eastAsia="Arial Unicode MS"/>
                <w:b/>
                <w:sz w:val="20"/>
              </w:rPr>
            </w:pPr>
            <w:r>
              <w:rPr>
                <w:b/>
                <w:sz w:val="20"/>
              </w:rPr>
              <w:t>40</w:t>
            </w:r>
          </w:p>
        </w:tc>
        <w:tc>
          <w:tcPr>
            <w:tcW w:w="580" w:type="dxa"/>
            <w:tcBorders>
              <w:top w:val="single" w:sz="4" w:space="0" w:color="auto"/>
              <w:left w:val="nil"/>
              <w:bottom w:val="single" w:sz="4" w:space="0" w:color="auto"/>
              <w:right w:val="single" w:sz="4" w:space="0" w:color="auto"/>
            </w:tcBorders>
            <w:shd w:val="clear" w:color="auto" w:fill="C0C0C0"/>
            <w:vAlign w:val="bottom"/>
          </w:tcPr>
          <w:p w14:paraId="6327378F" w14:textId="77777777" w:rsidR="00366ACF" w:rsidRDefault="00366ACF" w:rsidP="00C22EDC">
            <w:pPr>
              <w:jc w:val="center"/>
              <w:rPr>
                <w:rFonts w:eastAsia="Arial Unicode MS"/>
                <w:b/>
                <w:sz w:val="20"/>
              </w:rPr>
            </w:pPr>
            <w:r>
              <w:rPr>
                <w:b/>
                <w:sz w:val="20"/>
              </w:rPr>
              <w:t>50</w:t>
            </w:r>
          </w:p>
        </w:tc>
        <w:tc>
          <w:tcPr>
            <w:tcW w:w="579" w:type="dxa"/>
            <w:tcBorders>
              <w:top w:val="single" w:sz="4" w:space="0" w:color="auto"/>
              <w:left w:val="nil"/>
              <w:bottom w:val="single" w:sz="4" w:space="0" w:color="auto"/>
              <w:right w:val="single" w:sz="4" w:space="0" w:color="auto"/>
            </w:tcBorders>
            <w:shd w:val="clear" w:color="auto" w:fill="C0C0C0"/>
            <w:vAlign w:val="bottom"/>
          </w:tcPr>
          <w:p w14:paraId="728B481B" w14:textId="77777777" w:rsidR="00366ACF" w:rsidRDefault="00366ACF" w:rsidP="00C22EDC">
            <w:pPr>
              <w:jc w:val="center"/>
              <w:rPr>
                <w:rFonts w:eastAsia="Arial Unicode MS"/>
                <w:b/>
                <w:sz w:val="20"/>
              </w:rPr>
            </w:pPr>
            <w:r>
              <w:rPr>
                <w:b/>
                <w:sz w:val="20"/>
              </w:rPr>
              <w:t>60</w:t>
            </w:r>
          </w:p>
        </w:tc>
        <w:tc>
          <w:tcPr>
            <w:tcW w:w="580" w:type="dxa"/>
            <w:tcBorders>
              <w:top w:val="single" w:sz="4" w:space="0" w:color="auto"/>
              <w:left w:val="nil"/>
              <w:bottom w:val="single" w:sz="4" w:space="0" w:color="auto"/>
              <w:right w:val="single" w:sz="4" w:space="0" w:color="auto"/>
            </w:tcBorders>
            <w:shd w:val="clear" w:color="auto" w:fill="C0C0C0"/>
            <w:vAlign w:val="bottom"/>
          </w:tcPr>
          <w:p w14:paraId="645A27DF" w14:textId="77777777" w:rsidR="00366ACF" w:rsidRDefault="00366ACF" w:rsidP="00C22EDC">
            <w:pPr>
              <w:jc w:val="center"/>
              <w:rPr>
                <w:rFonts w:eastAsia="Arial Unicode MS"/>
                <w:b/>
                <w:sz w:val="20"/>
              </w:rPr>
            </w:pPr>
            <w:r>
              <w:rPr>
                <w:b/>
                <w:sz w:val="20"/>
              </w:rPr>
              <w:t>70</w:t>
            </w:r>
          </w:p>
        </w:tc>
        <w:tc>
          <w:tcPr>
            <w:tcW w:w="580" w:type="dxa"/>
            <w:tcBorders>
              <w:top w:val="single" w:sz="4" w:space="0" w:color="auto"/>
              <w:left w:val="nil"/>
              <w:bottom w:val="single" w:sz="4" w:space="0" w:color="auto"/>
              <w:right w:val="single" w:sz="4" w:space="0" w:color="auto"/>
            </w:tcBorders>
            <w:shd w:val="clear" w:color="auto" w:fill="C0C0C0"/>
            <w:vAlign w:val="bottom"/>
          </w:tcPr>
          <w:p w14:paraId="71B87DC9" w14:textId="77777777" w:rsidR="00366ACF" w:rsidRDefault="00366ACF" w:rsidP="00C22EDC">
            <w:pPr>
              <w:jc w:val="center"/>
              <w:rPr>
                <w:rFonts w:eastAsia="Arial Unicode MS"/>
                <w:b/>
                <w:sz w:val="20"/>
              </w:rPr>
            </w:pPr>
            <w:r>
              <w:rPr>
                <w:b/>
                <w:sz w:val="20"/>
              </w:rPr>
              <w:t>80</w:t>
            </w:r>
          </w:p>
        </w:tc>
      </w:tr>
      <w:tr w:rsidR="00366ACF" w14:paraId="293F3E4A" w14:textId="77777777" w:rsidTr="00C22EDC">
        <w:trPr>
          <w:trHeight w:val="255"/>
          <w:jc w:val="center"/>
        </w:trPr>
        <w:tc>
          <w:tcPr>
            <w:tcW w:w="355" w:type="dxa"/>
            <w:tcBorders>
              <w:top w:val="nil"/>
              <w:left w:val="single" w:sz="4" w:space="0" w:color="auto"/>
              <w:bottom w:val="single" w:sz="4" w:space="0" w:color="auto"/>
              <w:right w:val="single" w:sz="4" w:space="0" w:color="auto"/>
            </w:tcBorders>
            <w:shd w:val="clear" w:color="auto" w:fill="C0C0C0"/>
            <w:vAlign w:val="bottom"/>
          </w:tcPr>
          <w:p w14:paraId="1F0740B4" w14:textId="77777777" w:rsidR="00366ACF" w:rsidRDefault="00366ACF" w:rsidP="00C22EDC">
            <w:pPr>
              <w:jc w:val="center"/>
              <w:rPr>
                <w:rFonts w:eastAsia="Arial Unicode MS"/>
                <w:b/>
                <w:sz w:val="20"/>
              </w:rPr>
            </w:pPr>
            <w:r>
              <w:rPr>
                <w:b/>
                <w:sz w:val="20"/>
              </w:rPr>
              <w:t>80</w:t>
            </w:r>
          </w:p>
        </w:tc>
        <w:tc>
          <w:tcPr>
            <w:tcW w:w="579" w:type="dxa"/>
            <w:tcBorders>
              <w:top w:val="nil"/>
              <w:left w:val="nil"/>
              <w:bottom w:val="single" w:sz="4" w:space="0" w:color="auto"/>
              <w:right w:val="single" w:sz="4" w:space="0" w:color="auto"/>
            </w:tcBorders>
            <w:vAlign w:val="bottom"/>
          </w:tcPr>
          <w:p w14:paraId="744A0092" w14:textId="77777777" w:rsidR="00366ACF" w:rsidRDefault="00366ACF" w:rsidP="00C22EDC">
            <w:pPr>
              <w:jc w:val="center"/>
              <w:rPr>
                <w:rFonts w:eastAsia="Arial Unicode MS"/>
                <w:sz w:val="20"/>
              </w:rPr>
            </w:pPr>
            <w:r>
              <w:rPr>
                <w:sz w:val="20"/>
              </w:rPr>
              <w:t>-3</w:t>
            </w:r>
          </w:p>
        </w:tc>
        <w:tc>
          <w:tcPr>
            <w:tcW w:w="580" w:type="dxa"/>
            <w:tcBorders>
              <w:top w:val="nil"/>
              <w:left w:val="nil"/>
              <w:bottom w:val="single" w:sz="4" w:space="0" w:color="auto"/>
              <w:right w:val="single" w:sz="4" w:space="0" w:color="auto"/>
            </w:tcBorders>
            <w:vAlign w:val="bottom"/>
          </w:tcPr>
          <w:p w14:paraId="5604D04E" w14:textId="77777777" w:rsidR="00366ACF" w:rsidRDefault="00366ACF" w:rsidP="00C22EDC">
            <w:pPr>
              <w:jc w:val="center"/>
              <w:rPr>
                <w:rFonts w:eastAsia="Arial Unicode MS"/>
                <w:sz w:val="20"/>
              </w:rPr>
            </w:pPr>
            <w:r>
              <w:rPr>
                <w:sz w:val="20"/>
              </w:rPr>
              <w:t>-2</w:t>
            </w:r>
          </w:p>
        </w:tc>
        <w:tc>
          <w:tcPr>
            <w:tcW w:w="579" w:type="dxa"/>
            <w:tcBorders>
              <w:top w:val="nil"/>
              <w:left w:val="nil"/>
              <w:bottom w:val="single" w:sz="4" w:space="0" w:color="auto"/>
              <w:right w:val="single" w:sz="4" w:space="0" w:color="auto"/>
            </w:tcBorders>
            <w:vAlign w:val="bottom"/>
          </w:tcPr>
          <w:p w14:paraId="11B83680" w14:textId="77777777" w:rsidR="00366ACF" w:rsidRDefault="00366ACF" w:rsidP="00C22EDC">
            <w:pPr>
              <w:jc w:val="center"/>
              <w:rPr>
                <w:rFonts w:eastAsia="Arial Unicode MS"/>
                <w:sz w:val="20"/>
              </w:rPr>
            </w:pPr>
            <w:r>
              <w:rPr>
                <w:sz w:val="20"/>
              </w:rPr>
              <w:t>-4</w:t>
            </w:r>
          </w:p>
        </w:tc>
        <w:tc>
          <w:tcPr>
            <w:tcW w:w="580" w:type="dxa"/>
            <w:tcBorders>
              <w:top w:val="nil"/>
              <w:left w:val="nil"/>
              <w:bottom w:val="single" w:sz="4" w:space="0" w:color="auto"/>
              <w:right w:val="single" w:sz="4" w:space="0" w:color="auto"/>
            </w:tcBorders>
            <w:vAlign w:val="bottom"/>
          </w:tcPr>
          <w:p w14:paraId="630F9122" w14:textId="77777777" w:rsidR="00366ACF" w:rsidRDefault="00366ACF" w:rsidP="00C22EDC">
            <w:pPr>
              <w:jc w:val="center"/>
              <w:rPr>
                <w:rFonts w:eastAsia="Arial Unicode MS"/>
                <w:sz w:val="20"/>
              </w:rPr>
            </w:pPr>
            <w:r>
              <w:rPr>
                <w:sz w:val="20"/>
              </w:rPr>
              <w:t>-4</w:t>
            </w:r>
          </w:p>
        </w:tc>
        <w:tc>
          <w:tcPr>
            <w:tcW w:w="580" w:type="dxa"/>
            <w:tcBorders>
              <w:top w:val="nil"/>
              <w:left w:val="nil"/>
              <w:bottom w:val="single" w:sz="4" w:space="0" w:color="auto"/>
              <w:right w:val="single" w:sz="4" w:space="0" w:color="auto"/>
            </w:tcBorders>
            <w:vAlign w:val="bottom"/>
          </w:tcPr>
          <w:p w14:paraId="673FADE0" w14:textId="77777777" w:rsidR="00366ACF" w:rsidRDefault="00366ACF" w:rsidP="00C22EDC">
            <w:pPr>
              <w:jc w:val="center"/>
              <w:rPr>
                <w:rFonts w:eastAsia="Arial Unicode MS"/>
                <w:sz w:val="20"/>
              </w:rPr>
            </w:pPr>
            <w:r>
              <w:rPr>
                <w:sz w:val="20"/>
              </w:rPr>
              <w:t>-4</w:t>
            </w:r>
          </w:p>
        </w:tc>
        <w:tc>
          <w:tcPr>
            <w:tcW w:w="579" w:type="dxa"/>
            <w:tcBorders>
              <w:top w:val="nil"/>
              <w:left w:val="nil"/>
              <w:bottom w:val="single" w:sz="4" w:space="0" w:color="auto"/>
              <w:right w:val="single" w:sz="4" w:space="0" w:color="auto"/>
            </w:tcBorders>
            <w:vAlign w:val="bottom"/>
          </w:tcPr>
          <w:p w14:paraId="10FE5321" w14:textId="77777777" w:rsidR="00366ACF" w:rsidRDefault="00366ACF" w:rsidP="00C22EDC">
            <w:pPr>
              <w:jc w:val="center"/>
              <w:rPr>
                <w:rFonts w:eastAsia="Arial Unicode MS"/>
                <w:sz w:val="20"/>
              </w:rPr>
            </w:pPr>
            <w:r>
              <w:rPr>
                <w:sz w:val="20"/>
              </w:rPr>
              <w:t>-4</w:t>
            </w:r>
          </w:p>
        </w:tc>
        <w:tc>
          <w:tcPr>
            <w:tcW w:w="580" w:type="dxa"/>
            <w:tcBorders>
              <w:top w:val="nil"/>
              <w:left w:val="nil"/>
              <w:bottom w:val="single" w:sz="4" w:space="0" w:color="auto"/>
              <w:right w:val="single" w:sz="4" w:space="0" w:color="auto"/>
            </w:tcBorders>
            <w:vAlign w:val="bottom"/>
          </w:tcPr>
          <w:p w14:paraId="07C7C9EC" w14:textId="77777777" w:rsidR="00366ACF" w:rsidRDefault="00366ACF" w:rsidP="00C22EDC">
            <w:pPr>
              <w:jc w:val="center"/>
              <w:rPr>
                <w:rFonts w:eastAsia="Arial Unicode MS"/>
                <w:sz w:val="20"/>
              </w:rPr>
            </w:pPr>
            <w:r>
              <w:rPr>
                <w:sz w:val="20"/>
              </w:rPr>
              <w:t>-3</w:t>
            </w:r>
          </w:p>
        </w:tc>
        <w:tc>
          <w:tcPr>
            <w:tcW w:w="580" w:type="dxa"/>
            <w:tcBorders>
              <w:top w:val="nil"/>
              <w:left w:val="nil"/>
              <w:bottom w:val="single" w:sz="4" w:space="0" w:color="auto"/>
              <w:right w:val="single" w:sz="4" w:space="0" w:color="auto"/>
            </w:tcBorders>
            <w:vAlign w:val="bottom"/>
          </w:tcPr>
          <w:p w14:paraId="169A074D" w14:textId="77777777" w:rsidR="00366ACF" w:rsidRDefault="00366ACF" w:rsidP="00C22EDC">
            <w:pPr>
              <w:jc w:val="center"/>
              <w:rPr>
                <w:rFonts w:eastAsia="Arial Unicode MS"/>
                <w:sz w:val="20"/>
              </w:rPr>
            </w:pPr>
            <w:r>
              <w:rPr>
                <w:sz w:val="20"/>
              </w:rPr>
              <w:t>-3</w:t>
            </w:r>
          </w:p>
        </w:tc>
        <w:tc>
          <w:tcPr>
            <w:tcW w:w="579" w:type="dxa"/>
            <w:tcBorders>
              <w:top w:val="nil"/>
              <w:left w:val="nil"/>
              <w:bottom w:val="single" w:sz="4" w:space="0" w:color="auto"/>
              <w:right w:val="single" w:sz="4" w:space="0" w:color="auto"/>
            </w:tcBorders>
            <w:vAlign w:val="bottom"/>
          </w:tcPr>
          <w:p w14:paraId="2E16E107" w14:textId="77777777" w:rsidR="00366ACF" w:rsidRDefault="00366ACF" w:rsidP="00C22EDC">
            <w:pPr>
              <w:jc w:val="center"/>
              <w:rPr>
                <w:rFonts w:eastAsia="Arial Unicode MS"/>
                <w:sz w:val="20"/>
              </w:rPr>
            </w:pPr>
            <w:r>
              <w:rPr>
                <w:sz w:val="20"/>
              </w:rPr>
              <w:t>-2</w:t>
            </w:r>
          </w:p>
        </w:tc>
        <w:tc>
          <w:tcPr>
            <w:tcW w:w="580" w:type="dxa"/>
            <w:tcBorders>
              <w:top w:val="nil"/>
              <w:left w:val="nil"/>
              <w:bottom w:val="single" w:sz="4" w:space="0" w:color="auto"/>
              <w:right w:val="single" w:sz="4" w:space="0" w:color="auto"/>
            </w:tcBorders>
            <w:vAlign w:val="bottom"/>
          </w:tcPr>
          <w:p w14:paraId="3EC38B08" w14:textId="77777777" w:rsidR="00366ACF" w:rsidRDefault="00366ACF" w:rsidP="00C22EDC">
            <w:pPr>
              <w:jc w:val="center"/>
              <w:rPr>
                <w:rFonts w:eastAsia="Arial Unicode MS"/>
                <w:sz w:val="20"/>
              </w:rPr>
            </w:pPr>
            <w:r>
              <w:rPr>
                <w:sz w:val="20"/>
              </w:rPr>
              <w:t>-3</w:t>
            </w:r>
          </w:p>
        </w:tc>
        <w:tc>
          <w:tcPr>
            <w:tcW w:w="580" w:type="dxa"/>
            <w:tcBorders>
              <w:top w:val="nil"/>
              <w:left w:val="nil"/>
              <w:bottom w:val="single" w:sz="4" w:space="0" w:color="auto"/>
              <w:right w:val="single" w:sz="4" w:space="0" w:color="auto"/>
            </w:tcBorders>
            <w:vAlign w:val="bottom"/>
          </w:tcPr>
          <w:p w14:paraId="6EB9824D" w14:textId="77777777" w:rsidR="00366ACF" w:rsidRDefault="00366ACF" w:rsidP="00C22EDC">
            <w:pPr>
              <w:jc w:val="center"/>
              <w:rPr>
                <w:rFonts w:eastAsia="Arial Unicode MS"/>
                <w:sz w:val="20"/>
              </w:rPr>
            </w:pPr>
            <w:r>
              <w:rPr>
                <w:sz w:val="20"/>
              </w:rPr>
              <w:t>-3</w:t>
            </w:r>
          </w:p>
        </w:tc>
        <w:tc>
          <w:tcPr>
            <w:tcW w:w="579" w:type="dxa"/>
            <w:tcBorders>
              <w:top w:val="nil"/>
              <w:left w:val="nil"/>
              <w:bottom w:val="single" w:sz="4" w:space="0" w:color="auto"/>
              <w:right w:val="single" w:sz="4" w:space="0" w:color="auto"/>
            </w:tcBorders>
            <w:vAlign w:val="bottom"/>
          </w:tcPr>
          <w:p w14:paraId="5DC8C05A" w14:textId="77777777" w:rsidR="00366ACF" w:rsidRDefault="00366ACF" w:rsidP="00C22EDC">
            <w:pPr>
              <w:jc w:val="center"/>
              <w:rPr>
                <w:rFonts w:eastAsia="Arial Unicode MS"/>
                <w:sz w:val="20"/>
              </w:rPr>
            </w:pPr>
            <w:r>
              <w:rPr>
                <w:sz w:val="20"/>
              </w:rPr>
              <w:t>-4</w:t>
            </w:r>
          </w:p>
        </w:tc>
        <w:tc>
          <w:tcPr>
            <w:tcW w:w="580" w:type="dxa"/>
            <w:tcBorders>
              <w:top w:val="nil"/>
              <w:left w:val="nil"/>
              <w:bottom w:val="single" w:sz="4" w:space="0" w:color="auto"/>
              <w:right w:val="single" w:sz="4" w:space="0" w:color="auto"/>
            </w:tcBorders>
            <w:vAlign w:val="bottom"/>
          </w:tcPr>
          <w:p w14:paraId="79882A9D" w14:textId="77777777" w:rsidR="00366ACF" w:rsidRDefault="00366ACF" w:rsidP="00C22EDC">
            <w:pPr>
              <w:jc w:val="center"/>
              <w:rPr>
                <w:rFonts w:eastAsia="Arial Unicode MS"/>
                <w:sz w:val="20"/>
              </w:rPr>
            </w:pPr>
            <w:r>
              <w:rPr>
                <w:sz w:val="20"/>
              </w:rPr>
              <w:t>-6</w:t>
            </w:r>
          </w:p>
        </w:tc>
        <w:tc>
          <w:tcPr>
            <w:tcW w:w="580" w:type="dxa"/>
            <w:tcBorders>
              <w:top w:val="nil"/>
              <w:left w:val="nil"/>
              <w:bottom w:val="single" w:sz="4" w:space="0" w:color="auto"/>
              <w:right w:val="single" w:sz="4" w:space="0" w:color="auto"/>
            </w:tcBorders>
            <w:vAlign w:val="bottom"/>
          </w:tcPr>
          <w:p w14:paraId="77D7B4C7" w14:textId="77777777" w:rsidR="00366ACF" w:rsidRDefault="00366ACF" w:rsidP="00C22EDC">
            <w:pPr>
              <w:jc w:val="center"/>
              <w:rPr>
                <w:rFonts w:eastAsia="Arial Unicode MS"/>
                <w:sz w:val="20"/>
              </w:rPr>
            </w:pPr>
            <w:r>
              <w:rPr>
                <w:sz w:val="20"/>
              </w:rPr>
              <w:t>-7</w:t>
            </w:r>
          </w:p>
        </w:tc>
      </w:tr>
      <w:tr w:rsidR="00366ACF" w14:paraId="4A8B8B37" w14:textId="77777777" w:rsidTr="00C22EDC">
        <w:trPr>
          <w:trHeight w:val="255"/>
          <w:jc w:val="center"/>
        </w:trPr>
        <w:tc>
          <w:tcPr>
            <w:tcW w:w="355" w:type="dxa"/>
            <w:tcBorders>
              <w:top w:val="nil"/>
              <w:left w:val="single" w:sz="4" w:space="0" w:color="auto"/>
              <w:bottom w:val="single" w:sz="4" w:space="0" w:color="auto"/>
              <w:right w:val="single" w:sz="4" w:space="0" w:color="auto"/>
            </w:tcBorders>
            <w:shd w:val="clear" w:color="auto" w:fill="C0C0C0"/>
            <w:vAlign w:val="bottom"/>
          </w:tcPr>
          <w:p w14:paraId="7A456A6E" w14:textId="77777777" w:rsidR="00366ACF" w:rsidRDefault="00366ACF" w:rsidP="00C22EDC">
            <w:pPr>
              <w:jc w:val="center"/>
              <w:rPr>
                <w:rFonts w:eastAsia="Arial Unicode MS"/>
                <w:b/>
                <w:sz w:val="20"/>
              </w:rPr>
            </w:pPr>
            <w:r>
              <w:rPr>
                <w:b/>
                <w:sz w:val="20"/>
              </w:rPr>
              <w:t>70</w:t>
            </w:r>
          </w:p>
        </w:tc>
        <w:tc>
          <w:tcPr>
            <w:tcW w:w="579" w:type="dxa"/>
            <w:tcBorders>
              <w:top w:val="nil"/>
              <w:left w:val="nil"/>
              <w:bottom w:val="single" w:sz="4" w:space="0" w:color="auto"/>
              <w:right w:val="single" w:sz="4" w:space="0" w:color="auto"/>
            </w:tcBorders>
            <w:vAlign w:val="bottom"/>
          </w:tcPr>
          <w:p w14:paraId="5410FE16" w14:textId="77777777" w:rsidR="00366ACF" w:rsidRDefault="00366ACF" w:rsidP="00C22EDC">
            <w:pPr>
              <w:jc w:val="center"/>
              <w:rPr>
                <w:rFonts w:eastAsia="Arial Unicode MS"/>
                <w:sz w:val="20"/>
              </w:rPr>
            </w:pPr>
            <w:r>
              <w:rPr>
                <w:sz w:val="20"/>
              </w:rPr>
              <w:t>-2</w:t>
            </w:r>
          </w:p>
        </w:tc>
        <w:tc>
          <w:tcPr>
            <w:tcW w:w="580" w:type="dxa"/>
            <w:tcBorders>
              <w:top w:val="nil"/>
              <w:left w:val="nil"/>
              <w:bottom w:val="single" w:sz="4" w:space="0" w:color="auto"/>
              <w:right w:val="single" w:sz="4" w:space="0" w:color="auto"/>
            </w:tcBorders>
            <w:vAlign w:val="bottom"/>
          </w:tcPr>
          <w:p w14:paraId="2AF08336" w14:textId="77777777" w:rsidR="00366ACF" w:rsidRDefault="00366ACF" w:rsidP="00C22EDC">
            <w:pPr>
              <w:jc w:val="center"/>
              <w:rPr>
                <w:rFonts w:eastAsia="Arial Unicode MS"/>
                <w:sz w:val="20"/>
              </w:rPr>
            </w:pPr>
            <w:r>
              <w:rPr>
                <w:sz w:val="20"/>
              </w:rPr>
              <w:t>-3</w:t>
            </w:r>
          </w:p>
        </w:tc>
        <w:tc>
          <w:tcPr>
            <w:tcW w:w="579" w:type="dxa"/>
            <w:tcBorders>
              <w:top w:val="nil"/>
              <w:left w:val="nil"/>
              <w:bottom w:val="single" w:sz="4" w:space="0" w:color="auto"/>
              <w:right w:val="single" w:sz="4" w:space="0" w:color="auto"/>
            </w:tcBorders>
            <w:vAlign w:val="bottom"/>
          </w:tcPr>
          <w:p w14:paraId="67E673B3" w14:textId="77777777" w:rsidR="00366ACF" w:rsidRDefault="00366ACF" w:rsidP="00C22EDC">
            <w:pPr>
              <w:jc w:val="center"/>
              <w:rPr>
                <w:rFonts w:eastAsia="Arial Unicode MS"/>
                <w:sz w:val="20"/>
              </w:rPr>
            </w:pPr>
            <w:r>
              <w:rPr>
                <w:sz w:val="20"/>
              </w:rPr>
              <w:t>-4</w:t>
            </w:r>
          </w:p>
        </w:tc>
        <w:tc>
          <w:tcPr>
            <w:tcW w:w="580" w:type="dxa"/>
            <w:tcBorders>
              <w:top w:val="nil"/>
              <w:left w:val="nil"/>
              <w:bottom w:val="single" w:sz="4" w:space="0" w:color="auto"/>
              <w:right w:val="single" w:sz="4" w:space="0" w:color="auto"/>
            </w:tcBorders>
            <w:vAlign w:val="bottom"/>
          </w:tcPr>
          <w:p w14:paraId="0EF18601" w14:textId="77777777" w:rsidR="00366ACF" w:rsidRDefault="00366ACF" w:rsidP="00C22EDC">
            <w:pPr>
              <w:jc w:val="center"/>
              <w:rPr>
                <w:rFonts w:eastAsia="Arial Unicode MS"/>
                <w:sz w:val="20"/>
              </w:rPr>
            </w:pPr>
            <w:r>
              <w:rPr>
                <w:sz w:val="20"/>
              </w:rPr>
              <w:t>-4</w:t>
            </w:r>
          </w:p>
        </w:tc>
        <w:tc>
          <w:tcPr>
            <w:tcW w:w="580" w:type="dxa"/>
            <w:tcBorders>
              <w:top w:val="nil"/>
              <w:left w:val="nil"/>
              <w:bottom w:val="single" w:sz="4" w:space="0" w:color="auto"/>
              <w:right w:val="single" w:sz="4" w:space="0" w:color="auto"/>
            </w:tcBorders>
            <w:vAlign w:val="bottom"/>
          </w:tcPr>
          <w:p w14:paraId="62AE7E06" w14:textId="77777777" w:rsidR="00366ACF" w:rsidRDefault="00366ACF" w:rsidP="00C22EDC">
            <w:pPr>
              <w:jc w:val="center"/>
              <w:rPr>
                <w:rFonts w:eastAsia="Arial Unicode MS"/>
                <w:sz w:val="20"/>
              </w:rPr>
            </w:pPr>
            <w:r>
              <w:rPr>
                <w:sz w:val="20"/>
              </w:rPr>
              <w:t>-3</w:t>
            </w:r>
          </w:p>
        </w:tc>
        <w:tc>
          <w:tcPr>
            <w:tcW w:w="579" w:type="dxa"/>
            <w:tcBorders>
              <w:top w:val="nil"/>
              <w:left w:val="nil"/>
              <w:bottom w:val="single" w:sz="4" w:space="0" w:color="auto"/>
              <w:right w:val="single" w:sz="4" w:space="0" w:color="auto"/>
            </w:tcBorders>
            <w:vAlign w:val="bottom"/>
          </w:tcPr>
          <w:p w14:paraId="5B2585B8" w14:textId="77777777" w:rsidR="00366ACF" w:rsidRDefault="00366ACF" w:rsidP="00C22EDC">
            <w:pPr>
              <w:jc w:val="center"/>
              <w:rPr>
                <w:rFonts w:eastAsia="Arial Unicode MS"/>
                <w:sz w:val="20"/>
              </w:rPr>
            </w:pPr>
            <w:r>
              <w:rPr>
                <w:sz w:val="20"/>
              </w:rPr>
              <w:t>-1</w:t>
            </w:r>
          </w:p>
        </w:tc>
        <w:tc>
          <w:tcPr>
            <w:tcW w:w="580" w:type="dxa"/>
            <w:tcBorders>
              <w:top w:val="nil"/>
              <w:left w:val="nil"/>
              <w:bottom w:val="single" w:sz="4" w:space="0" w:color="auto"/>
              <w:right w:val="single" w:sz="4" w:space="0" w:color="auto"/>
            </w:tcBorders>
            <w:vAlign w:val="bottom"/>
          </w:tcPr>
          <w:p w14:paraId="4987C001" w14:textId="77777777" w:rsidR="00366ACF" w:rsidRDefault="00366ACF" w:rsidP="00C22EDC">
            <w:pPr>
              <w:jc w:val="center"/>
              <w:rPr>
                <w:rFonts w:eastAsia="Arial Unicode MS"/>
                <w:sz w:val="20"/>
              </w:rPr>
            </w:pPr>
            <w:r>
              <w:rPr>
                <w:sz w:val="20"/>
              </w:rPr>
              <w:t>2</w:t>
            </w:r>
          </w:p>
        </w:tc>
        <w:tc>
          <w:tcPr>
            <w:tcW w:w="580" w:type="dxa"/>
            <w:tcBorders>
              <w:top w:val="nil"/>
              <w:left w:val="nil"/>
              <w:bottom w:val="single" w:sz="4" w:space="0" w:color="auto"/>
              <w:right w:val="single" w:sz="4" w:space="0" w:color="auto"/>
            </w:tcBorders>
            <w:vAlign w:val="bottom"/>
          </w:tcPr>
          <w:p w14:paraId="77DDD03C" w14:textId="77777777" w:rsidR="00366ACF" w:rsidRDefault="00366ACF" w:rsidP="00C22EDC">
            <w:pPr>
              <w:jc w:val="center"/>
              <w:rPr>
                <w:rFonts w:eastAsia="Arial Unicode MS"/>
                <w:sz w:val="20"/>
              </w:rPr>
            </w:pPr>
            <w:r>
              <w:rPr>
                <w:sz w:val="20"/>
              </w:rPr>
              <w:t>4</w:t>
            </w:r>
          </w:p>
        </w:tc>
        <w:tc>
          <w:tcPr>
            <w:tcW w:w="579" w:type="dxa"/>
            <w:tcBorders>
              <w:top w:val="nil"/>
              <w:left w:val="nil"/>
              <w:bottom w:val="single" w:sz="4" w:space="0" w:color="auto"/>
              <w:right w:val="single" w:sz="4" w:space="0" w:color="auto"/>
            </w:tcBorders>
            <w:vAlign w:val="bottom"/>
          </w:tcPr>
          <w:p w14:paraId="138A80E4" w14:textId="77777777" w:rsidR="00366ACF" w:rsidRDefault="00366ACF" w:rsidP="00C22EDC">
            <w:pPr>
              <w:jc w:val="center"/>
              <w:rPr>
                <w:rFonts w:eastAsia="Arial Unicode MS"/>
                <w:sz w:val="20"/>
              </w:rPr>
            </w:pPr>
            <w:r>
              <w:rPr>
                <w:sz w:val="20"/>
              </w:rPr>
              <w:t>5</w:t>
            </w:r>
          </w:p>
        </w:tc>
        <w:tc>
          <w:tcPr>
            <w:tcW w:w="580" w:type="dxa"/>
            <w:tcBorders>
              <w:top w:val="nil"/>
              <w:left w:val="nil"/>
              <w:bottom w:val="single" w:sz="4" w:space="0" w:color="auto"/>
              <w:right w:val="single" w:sz="4" w:space="0" w:color="auto"/>
            </w:tcBorders>
            <w:vAlign w:val="bottom"/>
          </w:tcPr>
          <w:p w14:paraId="437F5E4E" w14:textId="77777777" w:rsidR="00366ACF" w:rsidRDefault="00366ACF" w:rsidP="00C22EDC">
            <w:pPr>
              <w:jc w:val="center"/>
              <w:rPr>
                <w:rFonts w:eastAsia="Arial Unicode MS"/>
                <w:sz w:val="20"/>
              </w:rPr>
            </w:pPr>
            <w:r>
              <w:rPr>
                <w:sz w:val="20"/>
              </w:rPr>
              <w:t>5</w:t>
            </w:r>
          </w:p>
        </w:tc>
        <w:tc>
          <w:tcPr>
            <w:tcW w:w="580" w:type="dxa"/>
            <w:tcBorders>
              <w:top w:val="nil"/>
              <w:left w:val="nil"/>
              <w:bottom w:val="single" w:sz="4" w:space="0" w:color="auto"/>
              <w:right w:val="single" w:sz="4" w:space="0" w:color="auto"/>
            </w:tcBorders>
            <w:vAlign w:val="bottom"/>
          </w:tcPr>
          <w:p w14:paraId="0851A803" w14:textId="77777777" w:rsidR="00366ACF" w:rsidRDefault="00366ACF" w:rsidP="00C22EDC">
            <w:pPr>
              <w:jc w:val="center"/>
              <w:rPr>
                <w:rFonts w:eastAsia="Arial Unicode MS"/>
                <w:sz w:val="20"/>
              </w:rPr>
            </w:pPr>
            <w:r>
              <w:rPr>
                <w:sz w:val="20"/>
              </w:rPr>
              <w:t>4</w:t>
            </w:r>
          </w:p>
        </w:tc>
        <w:tc>
          <w:tcPr>
            <w:tcW w:w="579" w:type="dxa"/>
            <w:tcBorders>
              <w:top w:val="nil"/>
              <w:left w:val="nil"/>
              <w:bottom w:val="single" w:sz="4" w:space="0" w:color="auto"/>
              <w:right w:val="single" w:sz="4" w:space="0" w:color="auto"/>
            </w:tcBorders>
            <w:vAlign w:val="bottom"/>
          </w:tcPr>
          <w:p w14:paraId="3FA72E1E" w14:textId="77777777" w:rsidR="00366ACF" w:rsidRDefault="00366ACF" w:rsidP="00C22EDC">
            <w:pPr>
              <w:jc w:val="center"/>
              <w:rPr>
                <w:rFonts w:eastAsia="Arial Unicode MS"/>
                <w:sz w:val="20"/>
              </w:rPr>
            </w:pPr>
            <w:r>
              <w:rPr>
                <w:sz w:val="20"/>
              </w:rPr>
              <w:t>2</w:t>
            </w:r>
          </w:p>
        </w:tc>
        <w:tc>
          <w:tcPr>
            <w:tcW w:w="580" w:type="dxa"/>
            <w:tcBorders>
              <w:top w:val="nil"/>
              <w:left w:val="nil"/>
              <w:bottom w:val="single" w:sz="4" w:space="0" w:color="auto"/>
              <w:right w:val="single" w:sz="4" w:space="0" w:color="auto"/>
            </w:tcBorders>
            <w:vAlign w:val="bottom"/>
          </w:tcPr>
          <w:p w14:paraId="0BA10321" w14:textId="77777777" w:rsidR="00366ACF" w:rsidRDefault="00366ACF" w:rsidP="00C22EDC">
            <w:pPr>
              <w:jc w:val="center"/>
              <w:rPr>
                <w:rFonts w:eastAsia="Arial Unicode MS"/>
                <w:sz w:val="20"/>
              </w:rPr>
            </w:pPr>
            <w:r>
              <w:rPr>
                <w:sz w:val="20"/>
              </w:rPr>
              <w:t>-1</w:t>
            </w:r>
          </w:p>
        </w:tc>
        <w:tc>
          <w:tcPr>
            <w:tcW w:w="580" w:type="dxa"/>
            <w:tcBorders>
              <w:top w:val="nil"/>
              <w:left w:val="nil"/>
              <w:bottom w:val="single" w:sz="4" w:space="0" w:color="auto"/>
              <w:right w:val="single" w:sz="4" w:space="0" w:color="auto"/>
            </w:tcBorders>
            <w:vAlign w:val="bottom"/>
          </w:tcPr>
          <w:p w14:paraId="3B01AE61" w14:textId="77777777" w:rsidR="00366ACF" w:rsidRDefault="00366ACF" w:rsidP="00C22EDC">
            <w:pPr>
              <w:jc w:val="center"/>
              <w:rPr>
                <w:rFonts w:eastAsia="Arial Unicode MS"/>
                <w:sz w:val="20"/>
              </w:rPr>
            </w:pPr>
            <w:r>
              <w:rPr>
                <w:sz w:val="20"/>
              </w:rPr>
              <w:t>-4</w:t>
            </w:r>
          </w:p>
        </w:tc>
      </w:tr>
      <w:tr w:rsidR="00366ACF" w14:paraId="5D636322" w14:textId="77777777" w:rsidTr="00C22EDC">
        <w:trPr>
          <w:trHeight w:val="255"/>
          <w:jc w:val="center"/>
        </w:trPr>
        <w:tc>
          <w:tcPr>
            <w:tcW w:w="355" w:type="dxa"/>
            <w:tcBorders>
              <w:top w:val="nil"/>
              <w:left w:val="single" w:sz="4" w:space="0" w:color="auto"/>
              <w:bottom w:val="single" w:sz="4" w:space="0" w:color="auto"/>
              <w:right w:val="single" w:sz="4" w:space="0" w:color="auto"/>
            </w:tcBorders>
            <w:shd w:val="clear" w:color="auto" w:fill="C0C0C0"/>
            <w:vAlign w:val="bottom"/>
          </w:tcPr>
          <w:p w14:paraId="66689DDC" w14:textId="77777777" w:rsidR="00366ACF" w:rsidRDefault="00366ACF" w:rsidP="00C22EDC">
            <w:pPr>
              <w:jc w:val="center"/>
              <w:rPr>
                <w:rFonts w:eastAsia="Arial Unicode MS"/>
                <w:b/>
                <w:sz w:val="20"/>
              </w:rPr>
            </w:pPr>
            <w:r>
              <w:rPr>
                <w:b/>
                <w:sz w:val="20"/>
              </w:rPr>
              <w:t>60</w:t>
            </w:r>
          </w:p>
        </w:tc>
        <w:tc>
          <w:tcPr>
            <w:tcW w:w="579" w:type="dxa"/>
            <w:tcBorders>
              <w:top w:val="nil"/>
              <w:left w:val="nil"/>
              <w:bottom w:val="single" w:sz="4" w:space="0" w:color="auto"/>
              <w:right w:val="single" w:sz="4" w:space="0" w:color="auto"/>
            </w:tcBorders>
            <w:vAlign w:val="bottom"/>
          </w:tcPr>
          <w:p w14:paraId="567CFBCE" w14:textId="77777777" w:rsidR="00366ACF" w:rsidRDefault="00366ACF" w:rsidP="00C22EDC">
            <w:pPr>
              <w:jc w:val="center"/>
              <w:rPr>
                <w:rFonts w:eastAsia="Arial Unicode MS"/>
                <w:sz w:val="20"/>
              </w:rPr>
            </w:pPr>
            <w:r>
              <w:rPr>
                <w:sz w:val="20"/>
              </w:rPr>
              <w:t>-1</w:t>
            </w:r>
          </w:p>
        </w:tc>
        <w:tc>
          <w:tcPr>
            <w:tcW w:w="580" w:type="dxa"/>
            <w:tcBorders>
              <w:top w:val="nil"/>
              <w:left w:val="nil"/>
              <w:bottom w:val="single" w:sz="4" w:space="0" w:color="auto"/>
              <w:right w:val="single" w:sz="4" w:space="0" w:color="auto"/>
            </w:tcBorders>
            <w:vAlign w:val="bottom"/>
          </w:tcPr>
          <w:p w14:paraId="13D4E37B" w14:textId="77777777" w:rsidR="00366ACF" w:rsidRDefault="00366ACF" w:rsidP="00C22EDC">
            <w:pPr>
              <w:jc w:val="center"/>
              <w:rPr>
                <w:rFonts w:eastAsia="Arial Unicode MS"/>
                <w:sz w:val="20"/>
              </w:rPr>
            </w:pPr>
            <w:r>
              <w:rPr>
                <w:sz w:val="20"/>
              </w:rPr>
              <w:t>-1</w:t>
            </w:r>
          </w:p>
        </w:tc>
        <w:tc>
          <w:tcPr>
            <w:tcW w:w="579" w:type="dxa"/>
            <w:tcBorders>
              <w:top w:val="nil"/>
              <w:left w:val="nil"/>
              <w:bottom w:val="single" w:sz="4" w:space="0" w:color="auto"/>
              <w:right w:val="single" w:sz="4" w:space="0" w:color="auto"/>
            </w:tcBorders>
            <w:vAlign w:val="bottom"/>
          </w:tcPr>
          <w:p w14:paraId="6927B0C2" w14:textId="77777777" w:rsidR="00366ACF" w:rsidRDefault="00366ACF" w:rsidP="00C22EDC">
            <w:pPr>
              <w:jc w:val="center"/>
              <w:rPr>
                <w:rFonts w:eastAsia="Arial Unicode MS"/>
                <w:sz w:val="20"/>
              </w:rPr>
            </w:pPr>
            <w:r>
              <w:rPr>
                <w:sz w:val="20"/>
              </w:rPr>
              <w:t>-1</w:t>
            </w:r>
          </w:p>
        </w:tc>
        <w:tc>
          <w:tcPr>
            <w:tcW w:w="580" w:type="dxa"/>
            <w:tcBorders>
              <w:top w:val="nil"/>
              <w:left w:val="nil"/>
              <w:bottom w:val="single" w:sz="4" w:space="0" w:color="auto"/>
              <w:right w:val="single" w:sz="4" w:space="0" w:color="auto"/>
            </w:tcBorders>
            <w:vAlign w:val="bottom"/>
          </w:tcPr>
          <w:p w14:paraId="32B502D4" w14:textId="77777777" w:rsidR="00366ACF" w:rsidRDefault="00366ACF" w:rsidP="00C22EDC">
            <w:pPr>
              <w:jc w:val="center"/>
              <w:rPr>
                <w:rFonts w:eastAsia="Arial Unicode MS"/>
                <w:sz w:val="20"/>
              </w:rPr>
            </w:pPr>
            <w:r>
              <w:rPr>
                <w:sz w:val="20"/>
              </w:rPr>
              <w:t>1</w:t>
            </w:r>
          </w:p>
        </w:tc>
        <w:tc>
          <w:tcPr>
            <w:tcW w:w="580" w:type="dxa"/>
            <w:tcBorders>
              <w:top w:val="nil"/>
              <w:left w:val="nil"/>
              <w:bottom w:val="single" w:sz="4" w:space="0" w:color="auto"/>
              <w:right w:val="single" w:sz="4" w:space="0" w:color="auto"/>
            </w:tcBorders>
            <w:vAlign w:val="bottom"/>
          </w:tcPr>
          <w:p w14:paraId="653A5E9F" w14:textId="77777777" w:rsidR="00366ACF" w:rsidRDefault="00366ACF" w:rsidP="00C22EDC">
            <w:pPr>
              <w:jc w:val="center"/>
              <w:rPr>
                <w:rFonts w:eastAsia="Arial Unicode MS"/>
                <w:sz w:val="20"/>
              </w:rPr>
            </w:pPr>
            <w:r>
              <w:rPr>
                <w:sz w:val="20"/>
              </w:rPr>
              <w:t>3</w:t>
            </w:r>
          </w:p>
        </w:tc>
        <w:tc>
          <w:tcPr>
            <w:tcW w:w="579" w:type="dxa"/>
            <w:tcBorders>
              <w:top w:val="nil"/>
              <w:left w:val="nil"/>
              <w:bottom w:val="single" w:sz="4" w:space="0" w:color="auto"/>
              <w:right w:val="single" w:sz="4" w:space="0" w:color="auto"/>
            </w:tcBorders>
            <w:vAlign w:val="bottom"/>
          </w:tcPr>
          <w:p w14:paraId="0B4CF147" w14:textId="77777777" w:rsidR="00366ACF" w:rsidRDefault="00366ACF" w:rsidP="00C22EDC">
            <w:pPr>
              <w:jc w:val="center"/>
              <w:rPr>
                <w:rFonts w:eastAsia="Arial Unicode MS"/>
                <w:sz w:val="20"/>
              </w:rPr>
            </w:pPr>
            <w:r>
              <w:rPr>
                <w:sz w:val="20"/>
              </w:rPr>
              <w:t>5</w:t>
            </w:r>
          </w:p>
        </w:tc>
        <w:tc>
          <w:tcPr>
            <w:tcW w:w="580" w:type="dxa"/>
            <w:tcBorders>
              <w:top w:val="nil"/>
              <w:left w:val="nil"/>
              <w:bottom w:val="single" w:sz="4" w:space="0" w:color="auto"/>
              <w:right w:val="single" w:sz="4" w:space="0" w:color="auto"/>
            </w:tcBorders>
            <w:vAlign w:val="bottom"/>
          </w:tcPr>
          <w:p w14:paraId="21D0D968" w14:textId="77777777" w:rsidR="00366ACF" w:rsidRDefault="00366ACF" w:rsidP="00C22EDC">
            <w:pPr>
              <w:jc w:val="center"/>
              <w:rPr>
                <w:rFonts w:eastAsia="Arial Unicode MS"/>
                <w:sz w:val="20"/>
              </w:rPr>
            </w:pPr>
            <w:r>
              <w:rPr>
                <w:sz w:val="20"/>
              </w:rPr>
              <w:t>9</w:t>
            </w:r>
          </w:p>
        </w:tc>
        <w:tc>
          <w:tcPr>
            <w:tcW w:w="580" w:type="dxa"/>
            <w:tcBorders>
              <w:top w:val="nil"/>
              <w:left w:val="nil"/>
              <w:bottom w:val="single" w:sz="4" w:space="0" w:color="auto"/>
              <w:right w:val="single" w:sz="4" w:space="0" w:color="auto"/>
            </w:tcBorders>
            <w:vAlign w:val="bottom"/>
          </w:tcPr>
          <w:p w14:paraId="64312F7D" w14:textId="77777777" w:rsidR="00366ACF" w:rsidRDefault="00366ACF" w:rsidP="00C22EDC">
            <w:pPr>
              <w:jc w:val="center"/>
              <w:rPr>
                <w:rFonts w:eastAsia="Arial Unicode MS"/>
                <w:sz w:val="20"/>
              </w:rPr>
            </w:pPr>
            <w:r>
              <w:rPr>
                <w:sz w:val="20"/>
              </w:rPr>
              <w:t>11</w:t>
            </w:r>
          </w:p>
        </w:tc>
        <w:tc>
          <w:tcPr>
            <w:tcW w:w="579" w:type="dxa"/>
            <w:tcBorders>
              <w:top w:val="nil"/>
              <w:left w:val="nil"/>
              <w:bottom w:val="single" w:sz="4" w:space="0" w:color="auto"/>
              <w:right w:val="single" w:sz="4" w:space="0" w:color="auto"/>
            </w:tcBorders>
            <w:vAlign w:val="bottom"/>
          </w:tcPr>
          <w:p w14:paraId="4DF7BDE7" w14:textId="77777777" w:rsidR="00366ACF" w:rsidRDefault="00366ACF" w:rsidP="00C22EDC">
            <w:pPr>
              <w:jc w:val="center"/>
              <w:rPr>
                <w:rFonts w:eastAsia="Arial Unicode MS"/>
                <w:sz w:val="20"/>
              </w:rPr>
            </w:pPr>
            <w:r>
              <w:rPr>
                <w:sz w:val="20"/>
              </w:rPr>
              <w:t>11</w:t>
            </w:r>
          </w:p>
        </w:tc>
        <w:tc>
          <w:tcPr>
            <w:tcW w:w="580" w:type="dxa"/>
            <w:tcBorders>
              <w:top w:val="nil"/>
              <w:left w:val="nil"/>
              <w:bottom w:val="single" w:sz="4" w:space="0" w:color="auto"/>
              <w:right w:val="single" w:sz="4" w:space="0" w:color="auto"/>
            </w:tcBorders>
            <w:vAlign w:val="bottom"/>
          </w:tcPr>
          <w:p w14:paraId="343D2B8C" w14:textId="77777777" w:rsidR="00366ACF" w:rsidRDefault="00366ACF" w:rsidP="00C22EDC">
            <w:pPr>
              <w:jc w:val="center"/>
              <w:rPr>
                <w:rFonts w:eastAsia="Arial Unicode MS"/>
                <w:sz w:val="20"/>
              </w:rPr>
            </w:pPr>
            <w:r>
              <w:rPr>
                <w:sz w:val="20"/>
              </w:rPr>
              <w:t>10</w:t>
            </w:r>
          </w:p>
        </w:tc>
        <w:tc>
          <w:tcPr>
            <w:tcW w:w="580" w:type="dxa"/>
            <w:tcBorders>
              <w:top w:val="nil"/>
              <w:left w:val="nil"/>
              <w:bottom w:val="single" w:sz="4" w:space="0" w:color="auto"/>
              <w:right w:val="single" w:sz="4" w:space="0" w:color="auto"/>
            </w:tcBorders>
            <w:vAlign w:val="bottom"/>
          </w:tcPr>
          <w:p w14:paraId="29BC7187" w14:textId="77777777" w:rsidR="00366ACF" w:rsidRDefault="00366ACF" w:rsidP="00C22EDC">
            <w:pPr>
              <w:jc w:val="center"/>
              <w:rPr>
                <w:rFonts w:eastAsia="Arial Unicode MS"/>
                <w:sz w:val="20"/>
              </w:rPr>
            </w:pPr>
            <w:r>
              <w:rPr>
                <w:sz w:val="20"/>
              </w:rPr>
              <w:t>8</w:t>
            </w:r>
          </w:p>
        </w:tc>
        <w:tc>
          <w:tcPr>
            <w:tcW w:w="579" w:type="dxa"/>
            <w:tcBorders>
              <w:top w:val="nil"/>
              <w:left w:val="nil"/>
              <w:bottom w:val="single" w:sz="4" w:space="0" w:color="auto"/>
              <w:right w:val="single" w:sz="4" w:space="0" w:color="auto"/>
            </w:tcBorders>
            <w:vAlign w:val="bottom"/>
          </w:tcPr>
          <w:p w14:paraId="3D5C0F73" w14:textId="77777777" w:rsidR="00366ACF" w:rsidRDefault="00366ACF" w:rsidP="00C22EDC">
            <w:pPr>
              <w:jc w:val="center"/>
              <w:rPr>
                <w:rFonts w:eastAsia="Arial Unicode MS"/>
                <w:sz w:val="20"/>
              </w:rPr>
            </w:pPr>
            <w:r>
              <w:rPr>
                <w:sz w:val="20"/>
              </w:rPr>
              <w:t>7</w:t>
            </w:r>
          </w:p>
        </w:tc>
        <w:tc>
          <w:tcPr>
            <w:tcW w:w="580" w:type="dxa"/>
            <w:tcBorders>
              <w:top w:val="nil"/>
              <w:left w:val="nil"/>
              <w:bottom w:val="single" w:sz="4" w:space="0" w:color="auto"/>
              <w:right w:val="single" w:sz="4" w:space="0" w:color="auto"/>
            </w:tcBorders>
            <w:vAlign w:val="bottom"/>
          </w:tcPr>
          <w:p w14:paraId="0FC98C97" w14:textId="77777777" w:rsidR="00366ACF" w:rsidRDefault="00366ACF" w:rsidP="00C22EDC">
            <w:pPr>
              <w:jc w:val="center"/>
              <w:rPr>
                <w:rFonts w:eastAsia="Arial Unicode MS"/>
                <w:sz w:val="20"/>
              </w:rPr>
            </w:pPr>
            <w:r>
              <w:rPr>
                <w:sz w:val="20"/>
              </w:rPr>
              <w:t>2</w:t>
            </w:r>
          </w:p>
        </w:tc>
        <w:tc>
          <w:tcPr>
            <w:tcW w:w="580" w:type="dxa"/>
            <w:tcBorders>
              <w:top w:val="nil"/>
              <w:left w:val="nil"/>
              <w:bottom w:val="single" w:sz="4" w:space="0" w:color="auto"/>
              <w:right w:val="single" w:sz="4" w:space="0" w:color="auto"/>
            </w:tcBorders>
            <w:vAlign w:val="bottom"/>
          </w:tcPr>
          <w:p w14:paraId="42234037" w14:textId="77777777" w:rsidR="00366ACF" w:rsidRDefault="00366ACF" w:rsidP="00C22EDC">
            <w:pPr>
              <w:jc w:val="center"/>
              <w:rPr>
                <w:rFonts w:eastAsia="Arial Unicode MS"/>
                <w:sz w:val="20"/>
              </w:rPr>
            </w:pPr>
            <w:r>
              <w:rPr>
                <w:sz w:val="20"/>
              </w:rPr>
              <w:t>-1</w:t>
            </w:r>
          </w:p>
        </w:tc>
      </w:tr>
      <w:tr w:rsidR="00366ACF" w14:paraId="6F3B206B" w14:textId="77777777" w:rsidTr="00C22EDC">
        <w:trPr>
          <w:trHeight w:val="255"/>
          <w:jc w:val="center"/>
        </w:trPr>
        <w:tc>
          <w:tcPr>
            <w:tcW w:w="355" w:type="dxa"/>
            <w:tcBorders>
              <w:top w:val="nil"/>
              <w:left w:val="single" w:sz="4" w:space="0" w:color="auto"/>
              <w:bottom w:val="single" w:sz="4" w:space="0" w:color="auto"/>
              <w:right w:val="single" w:sz="4" w:space="0" w:color="auto"/>
            </w:tcBorders>
            <w:shd w:val="clear" w:color="auto" w:fill="C0C0C0"/>
            <w:vAlign w:val="bottom"/>
          </w:tcPr>
          <w:p w14:paraId="48DEF16F" w14:textId="77777777" w:rsidR="00366ACF" w:rsidRDefault="00366ACF" w:rsidP="00C22EDC">
            <w:pPr>
              <w:jc w:val="center"/>
              <w:rPr>
                <w:rFonts w:eastAsia="Arial Unicode MS"/>
                <w:b/>
                <w:sz w:val="20"/>
              </w:rPr>
            </w:pPr>
            <w:r>
              <w:rPr>
                <w:b/>
                <w:sz w:val="20"/>
              </w:rPr>
              <w:t>50</w:t>
            </w:r>
          </w:p>
        </w:tc>
        <w:tc>
          <w:tcPr>
            <w:tcW w:w="579" w:type="dxa"/>
            <w:tcBorders>
              <w:top w:val="nil"/>
              <w:left w:val="nil"/>
              <w:bottom w:val="single" w:sz="4" w:space="0" w:color="auto"/>
              <w:right w:val="single" w:sz="4" w:space="0" w:color="auto"/>
            </w:tcBorders>
            <w:vAlign w:val="bottom"/>
          </w:tcPr>
          <w:p w14:paraId="2BE10040" w14:textId="77777777" w:rsidR="00366ACF" w:rsidRDefault="00366ACF" w:rsidP="00C22EDC">
            <w:pPr>
              <w:jc w:val="center"/>
              <w:rPr>
                <w:rFonts w:eastAsia="Arial Unicode MS"/>
                <w:sz w:val="20"/>
              </w:rPr>
            </w:pPr>
            <w:r>
              <w:rPr>
                <w:sz w:val="20"/>
              </w:rPr>
              <w:t>3</w:t>
            </w:r>
          </w:p>
        </w:tc>
        <w:tc>
          <w:tcPr>
            <w:tcW w:w="580" w:type="dxa"/>
            <w:tcBorders>
              <w:top w:val="nil"/>
              <w:left w:val="nil"/>
              <w:bottom w:val="single" w:sz="4" w:space="0" w:color="auto"/>
              <w:right w:val="single" w:sz="4" w:space="0" w:color="auto"/>
            </w:tcBorders>
            <w:vAlign w:val="bottom"/>
          </w:tcPr>
          <w:p w14:paraId="71D35151" w14:textId="77777777" w:rsidR="00366ACF" w:rsidRDefault="00366ACF" w:rsidP="00C22EDC">
            <w:pPr>
              <w:jc w:val="center"/>
              <w:rPr>
                <w:rFonts w:eastAsia="Arial Unicode MS"/>
                <w:sz w:val="20"/>
              </w:rPr>
            </w:pPr>
            <w:r>
              <w:rPr>
                <w:sz w:val="20"/>
              </w:rPr>
              <w:t>3</w:t>
            </w:r>
          </w:p>
        </w:tc>
        <w:tc>
          <w:tcPr>
            <w:tcW w:w="579" w:type="dxa"/>
            <w:tcBorders>
              <w:top w:val="nil"/>
              <w:left w:val="nil"/>
              <w:bottom w:val="single" w:sz="4" w:space="0" w:color="auto"/>
              <w:right w:val="single" w:sz="4" w:space="0" w:color="auto"/>
            </w:tcBorders>
            <w:vAlign w:val="bottom"/>
          </w:tcPr>
          <w:p w14:paraId="52E387DC" w14:textId="77777777" w:rsidR="00366ACF" w:rsidRDefault="00366ACF" w:rsidP="00C22EDC">
            <w:pPr>
              <w:jc w:val="center"/>
              <w:rPr>
                <w:rFonts w:eastAsia="Arial Unicode MS"/>
                <w:sz w:val="20"/>
              </w:rPr>
            </w:pPr>
            <w:r>
              <w:rPr>
                <w:sz w:val="20"/>
              </w:rPr>
              <w:t>3</w:t>
            </w:r>
          </w:p>
        </w:tc>
        <w:tc>
          <w:tcPr>
            <w:tcW w:w="580" w:type="dxa"/>
            <w:tcBorders>
              <w:top w:val="nil"/>
              <w:left w:val="nil"/>
              <w:bottom w:val="single" w:sz="4" w:space="0" w:color="auto"/>
              <w:right w:val="single" w:sz="4" w:space="0" w:color="auto"/>
            </w:tcBorders>
            <w:vAlign w:val="bottom"/>
          </w:tcPr>
          <w:p w14:paraId="7DDFF170" w14:textId="77777777" w:rsidR="00366ACF" w:rsidRDefault="00366ACF" w:rsidP="00C22EDC">
            <w:pPr>
              <w:jc w:val="center"/>
              <w:rPr>
                <w:rFonts w:eastAsia="Arial Unicode MS"/>
                <w:sz w:val="20"/>
              </w:rPr>
            </w:pPr>
            <w:r>
              <w:rPr>
                <w:sz w:val="20"/>
              </w:rPr>
              <w:t>5</w:t>
            </w:r>
          </w:p>
        </w:tc>
        <w:tc>
          <w:tcPr>
            <w:tcW w:w="580" w:type="dxa"/>
            <w:tcBorders>
              <w:top w:val="nil"/>
              <w:left w:val="nil"/>
              <w:bottom w:val="single" w:sz="4" w:space="0" w:color="auto"/>
              <w:right w:val="single" w:sz="4" w:space="0" w:color="auto"/>
            </w:tcBorders>
            <w:vAlign w:val="bottom"/>
          </w:tcPr>
          <w:p w14:paraId="133E52D2" w14:textId="77777777" w:rsidR="00366ACF" w:rsidRDefault="00366ACF" w:rsidP="00C22EDC">
            <w:pPr>
              <w:jc w:val="center"/>
              <w:rPr>
                <w:rFonts w:eastAsia="Arial Unicode MS"/>
                <w:sz w:val="20"/>
              </w:rPr>
            </w:pPr>
            <w:r>
              <w:rPr>
                <w:sz w:val="20"/>
              </w:rPr>
              <w:t>7</w:t>
            </w:r>
          </w:p>
        </w:tc>
        <w:tc>
          <w:tcPr>
            <w:tcW w:w="579" w:type="dxa"/>
            <w:tcBorders>
              <w:top w:val="nil"/>
              <w:left w:val="nil"/>
              <w:bottom w:val="single" w:sz="4" w:space="0" w:color="auto"/>
              <w:right w:val="single" w:sz="4" w:space="0" w:color="auto"/>
            </w:tcBorders>
            <w:vAlign w:val="bottom"/>
          </w:tcPr>
          <w:p w14:paraId="58FC02F3" w14:textId="77777777" w:rsidR="00366ACF" w:rsidRDefault="00366ACF" w:rsidP="00C22EDC">
            <w:pPr>
              <w:jc w:val="center"/>
              <w:rPr>
                <w:rFonts w:eastAsia="Arial Unicode MS"/>
                <w:sz w:val="20"/>
              </w:rPr>
            </w:pPr>
            <w:r>
              <w:rPr>
                <w:sz w:val="20"/>
              </w:rPr>
              <w:t>10</w:t>
            </w:r>
          </w:p>
        </w:tc>
        <w:tc>
          <w:tcPr>
            <w:tcW w:w="580" w:type="dxa"/>
            <w:tcBorders>
              <w:top w:val="nil"/>
              <w:left w:val="nil"/>
              <w:bottom w:val="single" w:sz="4" w:space="0" w:color="auto"/>
              <w:right w:val="single" w:sz="4" w:space="0" w:color="auto"/>
            </w:tcBorders>
            <w:vAlign w:val="bottom"/>
          </w:tcPr>
          <w:p w14:paraId="570A1B1D" w14:textId="77777777" w:rsidR="00366ACF" w:rsidRDefault="00366ACF" w:rsidP="00C22EDC">
            <w:pPr>
              <w:jc w:val="center"/>
              <w:rPr>
                <w:rFonts w:eastAsia="Arial Unicode MS"/>
                <w:sz w:val="20"/>
              </w:rPr>
            </w:pPr>
            <w:r>
              <w:rPr>
                <w:sz w:val="20"/>
              </w:rPr>
              <w:t>13</w:t>
            </w:r>
          </w:p>
        </w:tc>
        <w:tc>
          <w:tcPr>
            <w:tcW w:w="580" w:type="dxa"/>
            <w:tcBorders>
              <w:top w:val="nil"/>
              <w:left w:val="nil"/>
              <w:bottom w:val="single" w:sz="4" w:space="0" w:color="auto"/>
              <w:right w:val="single" w:sz="4" w:space="0" w:color="auto"/>
            </w:tcBorders>
            <w:vAlign w:val="bottom"/>
          </w:tcPr>
          <w:p w14:paraId="39BF0486" w14:textId="77777777" w:rsidR="00366ACF" w:rsidRDefault="00366ACF" w:rsidP="00C22EDC">
            <w:pPr>
              <w:jc w:val="center"/>
              <w:rPr>
                <w:rFonts w:eastAsia="Arial Unicode MS"/>
                <w:sz w:val="20"/>
              </w:rPr>
            </w:pPr>
            <w:r>
              <w:rPr>
                <w:sz w:val="20"/>
              </w:rPr>
              <w:t>13</w:t>
            </w:r>
          </w:p>
        </w:tc>
        <w:tc>
          <w:tcPr>
            <w:tcW w:w="579" w:type="dxa"/>
            <w:tcBorders>
              <w:top w:val="nil"/>
              <w:left w:val="nil"/>
              <w:bottom w:val="single" w:sz="4" w:space="0" w:color="auto"/>
              <w:right w:val="single" w:sz="4" w:space="0" w:color="auto"/>
            </w:tcBorders>
            <w:vAlign w:val="bottom"/>
          </w:tcPr>
          <w:p w14:paraId="701D4C1D" w14:textId="77777777" w:rsidR="00366ACF" w:rsidRDefault="00366ACF" w:rsidP="00C22EDC">
            <w:pPr>
              <w:jc w:val="center"/>
              <w:rPr>
                <w:rFonts w:eastAsia="Arial Unicode MS"/>
                <w:sz w:val="20"/>
              </w:rPr>
            </w:pPr>
            <w:r>
              <w:rPr>
                <w:sz w:val="20"/>
              </w:rPr>
              <w:t>12</w:t>
            </w:r>
          </w:p>
        </w:tc>
        <w:tc>
          <w:tcPr>
            <w:tcW w:w="580" w:type="dxa"/>
            <w:tcBorders>
              <w:top w:val="nil"/>
              <w:left w:val="nil"/>
              <w:bottom w:val="single" w:sz="4" w:space="0" w:color="auto"/>
              <w:right w:val="single" w:sz="4" w:space="0" w:color="auto"/>
            </w:tcBorders>
            <w:vAlign w:val="bottom"/>
          </w:tcPr>
          <w:p w14:paraId="2EFDE0A8" w14:textId="77777777" w:rsidR="00366ACF" w:rsidRDefault="00366ACF" w:rsidP="00C22EDC">
            <w:pPr>
              <w:jc w:val="center"/>
              <w:rPr>
                <w:rFonts w:eastAsia="Arial Unicode MS"/>
                <w:sz w:val="20"/>
              </w:rPr>
            </w:pPr>
            <w:r>
              <w:rPr>
                <w:sz w:val="20"/>
              </w:rPr>
              <w:t>10</w:t>
            </w:r>
          </w:p>
        </w:tc>
        <w:tc>
          <w:tcPr>
            <w:tcW w:w="580" w:type="dxa"/>
            <w:tcBorders>
              <w:top w:val="nil"/>
              <w:left w:val="nil"/>
              <w:bottom w:val="single" w:sz="4" w:space="0" w:color="auto"/>
              <w:right w:val="single" w:sz="4" w:space="0" w:color="auto"/>
            </w:tcBorders>
            <w:vAlign w:val="bottom"/>
          </w:tcPr>
          <w:p w14:paraId="5CA06B11" w14:textId="77777777" w:rsidR="00366ACF" w:rsidRDefault="00366ACF" w:rsidP="00C22EDC">
            <w:pPr>
              <w:jc w:val="center"/>
              <w:rPr>
                <w:rFonts w:eastAsia="Arial Unicode MS"/>
                <w:sz w:val="20"/>
              </w:rPr>
            </w:pPr>
            <w:r>
              <w:rPr>
                <w:sz w:val="20"/>
              </w:rPr>
              <w:t>9</w:t>
            </w:r>
          </w:p>
        </w:tc>
        <w:tc>
          <w:tcPr>
            <w:tcW w:w="579" w:type="dxa"/>
            <w:tcBorders>
              <w:top w:val="nil"/>
              <w:left w:val="nil"/>
              <w:bottom w:val="single" w:sz="4" w:space="0" w:color="auto"/>
              <w:right w:val="single" w:sz="4" w:space="0" w:color="auto"/>
            </w:tcBorders>
            <w:vAlign w:val="bottom"/>
          </w:tcPr>
          <w:p w14:paraId="11384372" w14:textId="77777777" w:rsidR="00366ACF" w:rsidRDefault="00366ACF" w:rsidP="00C22EDC">
            <w:pPr>
              <w:jc w:val="center"/>
              <w:rPr>
                <w:rFonts w:eastAsia="Arial Unicode MS"/>
                <w:sz w:val="20"/>
              </w:rPr>
            </w:pPr>
            <w:r>
              <w:rPr>
                <w:sz w:val="20"/>
              </w:rPr>
              <w:t>8</w:t>
            </w:r>
          </w:p>
        </w:tc>
        <w:tc>
          <w:tcPr>
            <w:tcW w:w="580" w:type="dxa"/>
            <w:tcBorders>
              <w:top w:val="nil"/>
              <w:left w:val="nil"/>
              <w:bottom w:val="single" w:sz="4" w:space="0" w:color="auto"/>
              <w:right w:val="single" w:sz="4" w:space="0" w:color="auto"/>
            </w:tcBorders>
            <w:vAlign w:val="bottom"/>
          </w:tcPr>
          <w:p w14:paraId="36801ED7" w14:textId="77777777" w:rsidR="00366ACF" w:rsidRDefault="00366ACF" w:rsidP="00C22EDC">
            <w:pPr>
              <w:jc w:val="center"/>
              <w:rPr>
                <w:rFonts w:eastAsia="Arial Unicode MS"/>
                <w:sz w:val="20"/>
              </w:rPr>
            </w:pPr>
            <w:r>
              <w:rPr>
                <w:sz w:val="20"/>
              </w:rPr>
              <w:t>7</w:t>
            </w:r>
          </w:p>
        </w:tc>
        <w:tc>
          <w:tcPr>
            <w:tcW w:w="580" w:type="dxa"/>
            <w:tcBorders>
              <w:top w:val="nil"/>
              <w:left w:val="nil"/>
              <w:bottom w:val="single" w:sz="4" w:space="0" w:color="auto"/>
              <w:right w:val="single" w:sz="4" w:space="0" w:color="auto"/>
            </w:tcBorders>
            <w:vAlign w:val="bottom"/>
          </w:tcPr>
          <w:p w14:paraId="6C2C014F" w14:textId="77777777" w:rsidR="00366ACF" w:rsidRDefault="00366ACF" w:rsidP="00C22EDC">
            <w:pPr>
              <w:jc w:val="center"/>
              <w:rPr>
                <w:rFonts w:eastAsia="Arial Unicode MS"/>
                <w:sz w:val="20"/>
              </w:rPr>
            </w:pPr>
            <w:r>
              <w:rPr>
                <w:sz w:val="20"/>
              </w:rPr>
              <w:t>4</w:t>
            </w:r>
          </w:p>
        </w:tc>
      </w:tr>
      <w:tr w:rsidR="00366ACF" w14:paraId="59DBC69A" w14:textId="77777777" w:rsidTr="00C22EDC">
        <w:trPr>
          <w:trHeight w:val="255"/>
          <w:jc w:val="center"/>
        </w:trPr>
        <w:tc>
          <w:tcPr>
            <w:tcW w:w="355" w:type="dxa"/>
            <w:tcBorders>
              <w:top w:val="nil"/>
              <w:left w:val="single" w:sz="4" w:space="0" w:color="auto"/>
              <w:bottom w:val="single" w:sz="4" w:space="0" w:color="auto"/>
              <w:right w:val="single" w:sz="4" w:space="0" w:color="auto"/>
            </w:tcBorders>
            <w:shd w:val="clear" w:color="auto" w:fill="C0C0C0"/>
            <w:vAlign w:val="bottom"/>
          </w:tcPr>
          <w:p w14:paraId="4A57984A" w14:textId="77777777" w:rsidR="00366ACF" w:rsidRDefault="00366ACF" w:rsidP="00C22EDC">
            <w:pPr>
              <w:jc w:val="center"/>
              <w:rPr>
                <w:rFonts w:eastAsia="Arial Unicode MS"/>
                <w:b/>
                <w:sz w:val="20"/>
              </w:rPr>
            </w:pPr>
            <w:r>
              <w:rPr>
                <w:b/>
                <w:sz w:val="20"/>
              </w:rPr>
              <w:t>40</w:t>
            </w:r>
          </w:p>
        </w:tc>
        <w:tc>
          <w:tcPr>
            <w:tcW w:w="579" w:type="dxa"/>
            <w:tcBorders>
              <w:top w:val="nil"/>
              <w:left w:val="nil"/>
              <w:bottom w:val="single" w:sz="4" w:space="0" w:color="auto"/>
              <w:right w:val="single" w:sz="4" w:space="0" w:color="auto"/>
            </w:tcBorders>
            <w:vAlign w:val="bottom"/>
          </w:tcPr>
          <w:p w14:paraId="1D7A2C9F" w14:textId="77777777" w:rsidR="00366ACF" w:rsidRDefault="00366ACF" w:rsidP="00C22EDC">
            <w:pPr>
              <w:jc w:val="center"/>
              <w:rPr>
                <w:rFonts w:eastAsia="Arial Unicode MS"/>
                <w:sz w:val="20"/>
              </w:rPr>
            </w:pPr>
            <w:r>
              <w:rPr>
                <w:sz w:val="20"/>
              </w:rPr>
              <w:t>6</w:t>
            </w:r>
          </w:p>
        </w:tc>
        <w:tc>
          <w:tcPr>
            <w:tcW w:w="580" w:type="dxa"/>
            <w:tcBorders>
              <w:top w:val="nil"/>
              <w:left w:val="nil"/>
              <w:bottom w:val="single" w:sz="4" w:space="0" w:color="auto"/>
              <w:right w:val="single" w:sz="4" w:space="0" w:color="auto"/>
            </w:tcBorders>
            <w:vAlign w:val="bottom"/>
          </w:tcPr>
          <w:p w14:paraId="730E8C27" w14:textId="77777777" w:rsidR="00366ACF" w:rsidRDefault="00366ACF" w:rsidP="00C22EDC">
            <w:pPr>
              <w:jc w:val="center"/>
              <w:rPr>
                <w:rFonts w:eastAsia="Arial Unicode MS"/>
                <w:sz w:val="20"/>
              </w:rPr>
            </w:pPr>
            <w:r>
              <w:rPr>
                <w:sz w:val="20"/>
              </w:rPr>
              <w:t>6</w:t>
            </w:r>
          </w:p>
        </w:tc>
        <w:tc>
          <w:tcPr>
            <w:tcW w:w="579" w:type="dxa"/>
            <w:tcBorders>
              <w:top w:val="nil"/>
              <w:left w:val="nil"/>
              <w:bottom w:val="single" w:sz="4" w:space="0" w:color="auto"/>
              <w:right w:val="single" w:sz="4" w:space="0" w:color="auto"/>
            </w:tcBorders>
            <w:vAlign w:val="bottom"/>
          </w:tcPr>
          <w:p w14:paraId="10239D72" w14:textId="77777777" w:rsidR="00366ACF" w:rsidRDefault="00366ACF" w:rsidP="00C22EDC">
            <w:pPr>
              <w:jc w:val="center"/>
              <w:rPr>
                <w:rFonts w:eastAsia="Arial Unicode MS"/>
                <w:sz w:val="20"/>
              </w:rPr>
            </w:pPr>
            <w:r>
              <w:rPr>
                <w:sz w:val="20"/>
              </w:rPr>
              <w:t>6</w:t>
            </w:r>
          </w:p>
        </w:tc>
        <w:tc>
          <w:tcPr>
            <w:tcW w:w="580" w:type="dxa"/>
            <w:tcBorders>
              <w:top w:val="nil"/>
              <w:left w:val="nil"/>
              <w:bottom w:val="single" w:sz="4" w:space="0" w:color="auto"/>
              <w:right w:val="single" w:sz="4" w:space="0" w:color="auto"/>
            </w:tcBorders>
            <w:vAlign w:val="bottom"/>
          </w:tcPr>
          <w:p w14:paraId="415BD9D5" w14:textId="77777777" w:rsidR="00366ACF" w:rsidRDefault="00366ACF" w:rsidP="00C22EDC">
            <w:pPr>
              <w:jc w:val="center"/>
              <w:rPr>
                <w:rFonts w:eastAsia="Arial Unicode MS"/>
                <w:sz w:val="20"/>
              </w:rPr>
            </w:pPr>
            <w:r>
              <w:rPr>
                <w:sz w:val="20"/>
              </w:rPr>
              <w:t>8</w:t>
            </w:r>
          </w:p>
        </w:tc>
        <w:tc>
          <w:tcPr>
            <w:tcW w:w="580" w:type="dxa"/>
            <w:tcBorders>
              <w:top w:val="nil"/>
              <w:left w:val="nil"/>
              <w:bottom w:val="single" w:sz="4" w:space="0" w:color="auto"/>
              <w:right w:val="single" w:sz="4" w:space="0" w:color="auto"/>
            </w:tcBorders>
            <w:vAlign w:val="bottom"/>
          </w:tcPr>
          <w:p w14:paraId="7BC09BCA" w14:textId="77777777" w:rsidR="00366ACF" w:rsidRDefault="00366ACF" w:rsidP="00C22EDC">
            <w:pPr>
              <w:jc w:val="center"/>
              <w:rPr>
                <w:rFonts w:eastAsia="Arial Unicode MS"/>
                <w:sz w:val="20"/>
              </w:rPr>
            </w:pPr>
            <w:r>
              <w:rPr>
                <w:sz w:val="20"/>
              </w:rPr>
              <w:t>11</w:t>
            </w:r>
          </w:p>
        </w:tc>
        <w:tc>
          <w:tcPr>
            <w:tcW w:w="579" w:type="dxa"/>
            <w:tcBorders>
              <w:top w:val="nil"/>
              <w:left w:val="nil"/>
              <w:bottom w:val="single" w:sz="4" w:space="0" w:color="auto"/>
              <w:right w:val="single" w:sz="4" w:space="0" w:color="auto"/>
            </w:tcBorders>
            <w:vAlign w:val="bottom"/>
          </w:tcPr>
          <w:p w14:paraId="2725854D" w14:textId="77777777" w:rsidR="00366ACF" w:rsidRDefault="00366ACF" w:rsidP="00C22EDC">
            <w:pPr>
              <w:jc w:val="center"/>
              <w:rPr>
                <w:rFonts w:eastAsia="Arial Unicode MS"/>
                <w:sz w:val="20"/>
              </w:rPr>
            </w:pPr>
            <w:r>
              <w:rPr>
                <w:sz w:val="20"/>
              </w:rPr>
              <w:t>13</w:t>
            </w:r>
          </w:p>
        </w:tc>
        <w:tc>
          <w:tcPr>
            <w:tcW w:w="580" w:type="dxa"/>
            <w:tcBorders>
              <w:top w:val="nil"/>
              <w:left w:val="nil"/>
              <w:bottom w:val="single" w:sz="4" w:space="0" w:color="auto"/>
              <w:right w:val="single" w:sz="4" w:space="0" w:color="auto"/>
            </w:tcBorders>
            <w:vAlign w:val="bottom"/>
          </w:tcPr>
          <w:p w14:paraId="6577AA9F" w14:textId="77777777" w:rsidR="00366ACF" w:rsidRDefault="00366ACF" w:rsidP="00C22EDC">
            <w:pPr>
              <w:jc w:val="center"/>
              <w:rPr>
                <w:rFonts w:eastAsia="Arial Unicode MS"/>
                <w:sz w:val="20"/>
              </w:rPr>
            </w:pPr>
            <w:r>
              <w:rPr>
                <w:sz w:val="20"/>
              </w:rPr>
              <w:t>13</w:t>
            </w:r>
          </w:p>
        </w:tc>
        <w:tc>
          <w:tcPr>
            <w:tcW w:w="580" w:type="dxa"/>
            <w:tcBorders>
              <w:top w:val="nil"/>
              <w:left w:val="nil"/>
              <w:bottom w:val="single" w:sz="4" w:space="0" w:color="auto"/>
              <w:right w:val="single" w:sz="4" w:space="0" w:color="auto"/>
            </w:tcBorders>
            <w:vAlign w:val="bottom"/>
          </w:tcPr>
          <w:p w14:paraId="3AD972D3" w14:textId="77777777" w:rsidR="00366ACF" w:rsidRDefault="00366ACF" w:rsidP="00C22EDC">
            <w:pPr>
              <w:jc w:val="center"/>
              <w:rPr>
                <w:rFonts w:eastAsia="Arial Unicode MS"/>
                <w:sz w:val="20"/>
              </w:rPr>
            </w:pPr>
            <w:r>
              <w:rPr>
                <w:sz w:val="20"/>
              </w:rPr>
              <w:t>13</w:t>
            </w:r>
          </w:p>
        </w:tc>
        <w:tc>
          <w:tcPr>
            <w:tcW w:w="579" w:type="dxa"/>
            <w:tcBorders>
              <w:top w:val="nil"/>
              <w:left w:val="nil"/>
              <w:bottom w:val="single" w:sz="4" w:space="0" w:color="auto"/>
              <w:right w:val="single" w:sz="4" w:space="0" w:color="auto"/>
            </w:tcBorders>
            <w:vAlign w:val="bottom"/>
          </w:tcPr>
          <w:p w14:paraId="4316D30E" w14:textId="77777777" w:rsidR="00366ACF" w:rsidRDefault="00366ACF" w:rsidP="00C22EDC">
            <w:pPr>
              <w:jc w:val="center"/>
              <w:rPr>
                <w:rFonts w:eastAsia="Arial Unicode MS"/>
                <w:sz w:val="20"/>
              </w:rPr>
            </w:pPr>
            <w:r>
              <w:rPr>
                <w:sz w:val="20"/>
              </w:rPr>
              <w:t>11</w:t>
            </w:r>
          </w:p>
        </w:tc>
        <w:tc>
          <w:tcPr>
            <w:tcW w:w="580" w:type="dxa"/>
            <w:tcBorders>
              <w:top w:val="nil"/>
              <w:left w:val="nil"/>
              <w:bottom w:val="single" w:sz="4" w:space="0" w:color="auto"/>
              <w:right w:val="single" w:sz="4" w:space="0" w:color="auto"/>
            </w:tcBorders>
            <w:vAlign w:val="bottom"/>
          </w:tcPr>
          <w:p w14:paraId="5DABA816" w14:textId="77777777" w:rsidR="00366ACF" w:rsidRDefault="00366ACF" w:rsidP="00C22EDC">
            <w:pPr>
              <w:jc w:val="center"/>
              <w:rPr>
                <w:rFonts w:eastAsia="Arial Unicode MS"/>
                <w:sz w:val="20"/>
              </w:rPr>
            </w:pPr>
            <w:r>
              <w:rPr>
                <w:sz w:val="20"/>
              </w:rPr>
              <w:t>10</w:t>
            </w:r>
          </w:p>
        </w:tc>
        <w:tc>
          <w:tcPr>
            <w:tcW w:w="580" w:type="dxa"/>
            <w:tcBorders>
              <w:top w:val="nil"/>
              <w:left w:val="nil"/>
              <w:bottom w:val="single" w:sz="4" w:space="0" w:color="auto"/>
              <w:right w:val="single" w:sz="4" w:space="0" w:color="auto"/>
            </w:tcBorders>
            <w:vAlign w:val="bottom"/>
          </w:tcPr>
          <w:p w14:paraId="1D5C3254" w14:textId="77777777" w:rsidR="00366ACF" w:rsidRDefault="00366ACF" w:rsidP="00C22EDC">
            <w:pPr>
              <w:jc w:val="center"/>
              <w:rPr>
                <w:rFonts w:eastAsia="Arial Unicode MS"/>
                <w:sz w:val="20"/>
              </w:rPr>
            </w:pPr>
            <w:r>
              <w:rPr>
                <w:sz w:val="20"/>
              </w:rPr>
              <w:t>9</w:t>
            </w:r>
          </w:p>
        </w:tc>
        <w:tc>
          <w:tcPr>
            <w:tcW w:w="579" w:type="dxa"/>
            <w:tcBorders>
              <w:top w:val="nil"/>
              <w:left w:val="nil"/>
              <w:bottom w:val="single" w:sz="4" w:space="0" w:color="auto"/>
              <w:right w:val="single" w:sz="4" w:space="0" w:color="auto"/>
            </w:tcBorders>
            <w:vAlign w:val="bottom"/>
          </w:tcPr>
          <w:p w14:paraId="75038E4A" w14:textId="77777777" w:rsidR="00366ACF" w:rsidRDefault="00366ACF" w:rsidP="00C22EDC">
            <w:pPr>
              <w:jc w:val="center"/>
              <w:rPr>
                <w:rFonts w:eastAsia="Arial Unicode MS"/>
                <w:sz w:val="20"/>
              </w:rPr>
            </w:pPr>
            <w:r>
              <w:rPr>
                <w:sz w:val="20"/>
              </w:rPr>
              <w:t>9</w:t>
            </w:r>
          </w:p>
        </w:tc>
        <w:tc>
          <w:tcPr>
            <w:tcW w:w="580" w:type="dxa"/>
            <w:tcBorders>
              <w:top w:val="nil"/>
              <w:left w:val="nil"/>
              <w:bottom w:val="single" w:sz="4" w:space="0" w:color="auto"/>
              <w:right w:val="single" w:sz="4" w:space="0" w:color="auto"/>
            </w:tcBorders>
            <w:vAlign w:val="bottom"/>
          </w:tcPr>
          <w:p w14:paraId="24769B8E" w14:textId="77777777" w:rsidR="00366ACF" w:rsidRDefault="00366ACF" w:rsidP="00C22EDC">
            <w:pPr>
              <w:jc w:val="center"/>
              <w:rPr>
                <w:rFonts w:eastAsia="Arial Unicode MS"/>
                <w:sz w:val="20"/>
              </w:rPr>
            </w:pPr>
            <w:r>
              <w:rPr>
                <w:sz w:val="20"/>
              </w:rPr>
              <w:t>11</w:t>
            </w:r>
          </w:p>
        </w:tc>
        <w:tc>
          <w:tcPr>
            <w:tcW w:w="580" w:type="dxa"/>
            <w:tcBorders>
              <w:top w:val="nil"/>
              <w:left w:val="nil"/>
              <w:bottom w:val="single" w:sz="4" w:space="0" w:color="auto"/>
              <w:right w:val="single" w:sz="4" w:space="0" w:color="auto"/>
            </w:tcBorders>
            <w:vAlign w:val="bottom"/>
          </w:tcPr>
          <w:p w14:paraId="753A5500" w14:textId="77777777" w:rsidR="00366ACF" w:rsidRDefault="00366ACF" w:rsidP="00C22EDC">
            <w:pPr>
              <w:jc w:val="center"/>
              <w:rPr>
                <w:rFonts w:eastAsia="Arial Unicode MS"/>
                <w:sz w:val="20"/>
              </w:rPr>
            </w:pPr>
            <w:r>
              <w:rPr>
                <w:sz w:val="20"/>
              </w:rPr>
              <w:t>13</w:t>
            </w:r>
          </w:p>
        </w:tc>
      </w:tr>
      <w:tr w:rsidR="00366ACF" w14:paraId="4A1B6E36" w14:textId="77777777" w:rsidTr="00C22EDC">
        <w:trPr>
          <w:trHeight w:val="255"/>
          <w:jc w:val="center"/>
        </w:trPr>
        <w:tc>
          <w:tcPr>
            <w:tcW w:w="355" w:type="dxa"/>
            <w:tcBorders>
              <w:top w:val="nil"/>
              <w:left w:val="single" w:sz="4" w:space="0" w:color="auto"/>
              <w:bottom w:val="single" w:sz="4" w:space="0" w:color="auto"/>
              <w:right w:val="single" w:sz="4" w:space="0" w:color="auto"/>
            </w:tcBorders>
            <w:shd w:val="clear" w:color="auto" w:fill="C0C0C0"/>
            <w:vAlign w:val="bottom"/>
          </w:tcPr>
          <w:p w14:paraId="5F5EE779" w14:textId="77777777" w:rsidR="00366ACF" w:rsidRDefault="00366ACF" w:rsidP="00C22EDC">
            <w:pPr>
              <w:jc w:val="center"/>
              <w:rPr>
                <w:rFonts w:eastAsia="Arial Unicode MS"/>
                <w:b/>
                <w:sz w:val="20"/>
              </w:rPr>
            </w:pPr>
            <w:r>
              <w:rPr>
                <w:b/>
                <w:sz w:val="20"/>
              </w:rPr>
              <w:t>30</w:t>
            </w:r>
          </w:p>
        </w:tc>
        <w:tc>
          <w:tcPr>
            <w:tcW w:w="579" w:type="dxa"/>
            <w:tcBorders>
              <w:top w:val="nil"/>
              <w:left w:val="nil"/>
              <w:bottom w:val="single" w:sz="4" w:space="0" w:color="auto"/>
              <w:right w:val="single" w:sz="4" w:space="0" w:color="auto"/>
            </w:tcBorders>
            <w:vAlign w:val="bottom"/>
          </w:tcPr>
          <w:p w14:paraId="56E2EB84" w14:textId="77777777" w:rsidR="00366ACF" w:rsidRDefault="00366ACF" w:rsidP="00C22EDC">
            <w:pPr>
              <w:jc w:val="center"/>
              <w:rPr>
                <w:rFonts w:eastAsia="Arial Unicode MS"/>
                <w:sz w:val="20"/>
              </w:rPr>
            </w:pPr>
            <w:r>
              <w:rPr>
                <w:sz w:val="20"/>
              </w:rPr>
              <w:t>12</w:t>
            </w:r>
          </w:p>
        </w:tc>
        <w:tc>
          <w:tcPr>
            <w:tcW w:w="580" w:type="dxa"/>
            <w:tcBorders>
              <w:top w:val="nil"/>
              <w:left w:val="nil"/>
              <w:bottom w:val="single" w:sz="4" w:space="0" w:color="auto"/>
              <w:right w:val="single" w:sz="4" w:space="0" w:color="auto"/>
            </w:tcBorders>
            <w:vAlign w:val="bottom"/>
          </w:tcPr>
          <w:p w14:paraId="5A7209A2" w14:textId="77777777" w:rsidR="00366ACF" w:rsidRDefault="00366ACF" w:rsidP="00C22EDC">
            <w:pPr>
              <w:jc w:val="center"/>
              <w:rPr>
                <w:rFonts w:eastAsia="Arial Unicode MS"/>
                <w:sz w:val="20"/>
              </w:rPr>
            </w:pPr>
            <w:r>
              <w:rPr>
                <w:sz w:val="20"/>
              </w:rPr>
              <w:t>11</w:t>
            </w:r>
          </w:p>
        </w:tc>
        <w:tc>
          <w:tcPr>
            <w:tcW w:w="579" w:type="dxa"/>
            <w:tcBorders>
              <w:top w:val="nil"/>
              <w:left w:val="nil"/>
              <w:bottom w:val="single" w:sz="4" w:space="0" w:color="auto"/>
              <w:right w:val="single" w:sz="4" w:space="0" w:color="auto"/>
            </w:tcBorders>
            <w:vAlign w:val="bottom"/>
          </w:tcPr>
          <w:p w14:paraId="63E86E28" w14:textId="77777777" w:rsidR="00366ACF" w:rsidRDefault="00366ACF" w:rsidP="00C22EDC">
            <w:pPr>
              <w:jc w:val="center"/>
              <w:rPr>
                <w:rFonts w:eastAsia="Arial Unicode MS"/>
                <w:sz w:val="20"/>
              </w:rPr>
            </w:pPr>
            <w:r>
              <w:rPr>
                <w:sz w:val="20"/>
              </w:rPr>
              <w:t>11</w:t>
            </w:r>
          </w:p>
        </w:tc>
        <w:tc>
          <w:tcPr>
            <w:tcW w:w="580" w:type="dxa"/>
            <w:tcBorders>
              <w:top w:val="nil"/>
              <w:left w:val="nil"/>
              <w:bottom w:val="single" w:sz="4" w:space="0" w:color="auto"/>
              <w:right w:val="single" w:sz="4" w:space="0" w:color="auto"/>
            </w:tcBorders>
            <w:vAlign w:val="bottom"/>
          </w:tcPr>
          <w:p w14:paraId="66D6DA5B" w14:textId="77777777" w:rsidR="00366ACF" w:rsidRDefault="00366ACF" w:rsidP="00C22EDC">
            <w:pPr>
              <w:jc w:val="center"/>
              <w:rPr>
                <w:rFonts w:eastAsia="Arial Unicode MS"/>
                <w:sz w:val="20"/>
              </w:rPr>
            </w:pPr>
            <w:r>
              <w:rPr>
                <w:sz w:val="20"/>
              </w:rPr>
              <w:t>12</w:t>
            </w:r>
          </w:p>
        </w:tc>
        <w:tc>
          <w:tcPr>
            <w:tcW w:w="580" w:type="dxa"/>
            <w:tcBorders>
              <w:top w:val="nil"/>
              <w:left w:val="nil"/>
              <w:bottom w:val="single" w:sz="4" w:space="0" w:color="auto"/>
              <w:right w:val="single" w:sz="4" w:space="0" w:color="auto"/>
            </w:tcBorders>
            <w:vAlign w:val="bottom"/>
          </w:tcPr>
          <w:p w14:paraId="5B83CF7D" w14:textId="77777777" w:rsidR="00366ACF" w:rsidRDefault="00366ACF" w:rsidP="00C22EDC">
            <w:pPr>
              <w:jc w:val="center"/>
              <w:rPr>
                <w:rFonts w:eastAsia="Arial Unicode MS"/>
                <w:sz w:val="20"/>
              </w:rPr>
            </w:pPr>
            <w:r>
              <w:rPr>
                <w:sz w:val="20"/>
              </w:rPr>
              <w:t>13</w:t>
            </w:r>
          </w:p>
        </w:tc>
        <w:tc>
          <w:tcPr>
            <w:tcW w:w="579" w:type="dxa"/>
            <w:tcBorders>
              <w:top w:val="nil"/>
              <w:left w:val="nil"/>
              <w:bottom w:val="single" w:sz="4" w:space="0" w:color="auto"/>
              <w:right w:val="single" w:sz="4" w:space="0" w:color="auto"/>
            </w:tcBorders>
            <w:vAlign w:val="bottom"/>
          </w:tcPr>
          <w:p w14:paraId="6ABBE6F8" w14:textId="77777777" w:rsidR="00366ACF" w:rsidRDefault="00366ACF" w:rsidP="00C22EDC">
            <w:pPr>
              <w:jc w:val="center"/>
              <w:rPr>
                <w:rFonts w:eastAsia="Arial Unicode MS"/>
                <w:sz w:val="20"/>
              </w:rPr>
            </w:pPr>
            <w:r>
              <w:rPr>
                <w:sz w:val="20"/>
              </w:rPr>
              <w:t>14</w:t>
            </w:r>
          </w:p>
        </w:tc>
        <w:tc>
          <w:tcPr>
            <w:tcW w:w="580" w:type="dxa"/>
            <w:tcBorders>
              <w:top w:val="nil"/>
              <w:left w:val="nil"/>
              <w:bottom w:val="single" w:sz="4" w:space="0" w:color="auto"/>
              <w:right w:val="single" w:sz="4" w:space="0" w:color="auto"/>
            </w:tcBorders>
            <w:vAlign w:val="bottom"/>
          </w:tcPr>
          <w:p w14:paraId="45989BE6" w14:textId="77777777" w:rsidR="00366ACF" w:rsidRDefault="00366ACF" w:rsidP="00C22EDC">
            <w:pPr>
              <w:jc w:val="center"/>
              <w:rPr>
                <w:rFonts w:eastAsia="Arial Unicode MS"/>
                <w:sz w:val="20"/>
              </w:rPr>
            </w:pPr>
            <w:r>
              <w:rPr>
                <w:sz w:val="20"/>
              </w:rPr>
              <w:t>14</w:t>
            </w:r>
          </w:p>
        </w:tc>
        <w:tc>
          <w:tcPr>
            <w:tcW w:w="580" w:type="dxa"/>
            <w:tcBorders>
              <w:top w:val="nil"/>
              <w:left w:val="nil"/>
              <w:bottom w:val="single" w:sz="4" w:space="0" w:color="auto"/>
              <w:right w:val="single" w:sz="4" w:space="0" w:color="auto"/>
            </w:tcBorders>
            <w:vAlign w:val="bottom"/>
          </w:tcPr>
          <w:p w14:paraId="0AA19E4D" w14:textId="77777777" w:rsidR="00366ACF" w:rsidRDefault="00366ACF" w:rsidP="00C22EDC">
            <w:pPr>
              <w:jc w:val="center"/>
              <w:rPr>
                <w:rFonts w:eastAsia="Arial Unicode MS"/>
                <w:sz w:val="20"/>
              </w:rPr>
            </w:pPr>
            <w:r>
              <w:rPr>
                <w:sz w:val="20"/>
              </w:rPr>
              <w:t>13</w:t>
            </w:r>
          </w:p>
        </w:tc>
        <w:tc>
          <w:tcPr>
            <w:tcW w:w="579" w:type="dxa"/>
            <w:tcBorders>
              <w:top w:val="nil"/>
              <w:left w:val="nil"/>
              <w:bottom w:val="single" w:sz="4" w:space="0" w:color="auto"/>
              <w:right w:val="single" w:sz="4" w:space="0" w:color="auto"/>
            </w:tcBorders>
            <w:vAlign w:val="bottom"/>
          </w:tcPr>
          <w:p w14:paraId="754297FB" w14:textId="77777777" w:rsidR="00366ACF" w:rsidRDefault="00366ACF" w:rsidP="00C22EDC">
            <w:pPr>
              <w:jc w:val="center"/>
              <w:rPr>
                <w:rFonts w:eastAsia="Arial Unicode MS"/>
                <w:sz w:val="20"/>
              </w:rPr>
            </w:pPr>
            <w:r>
              <w:rPr>
                <w:sz w:val="20"/>
              </w:rPr>
              <w:t>11</w:t>
            </w:r>
          </w:p>
        </w:tc>
        <w:tc>
          <w:tcPr>
            <w:tcW w:w="580" w:type="dxa"/>
            <w:tcBorders>
              <w:top w:val="nil"/>
              <w:left w:val="nil"/>
              <w:bottom w:val="single" w:sz="4" w:space="0" w:color="auto"/>
              <w:right w:val="single" w:sz="4" w:space="0" w:color="auto"/>
            </w:tcBorders>
            <w:vAlign w:val="bottom"/>
          </w:tcPr>
          <w:p w14:paraId="16CD783D" w14:textId="77777777" w:rsidR="00366ACF" w:rsidRDefault="00366ACF" w:rsidP="00C22EDC">
            <w:pPr>
              <w:jc w:val="center"/>
              <w:rPr>
                <w:rFonts w:eastAsia="Arial Unicode MS"/>
                <w:sz w:val="20"/>
              </w:rPr>
            </w:pPr>
            <w:r>
              <w:rPr>
                <w:sz w:val="20"/>
              </w:rPr>
              <w:t>11</w:t>
            </w:r>
          </w:p>
        </w:tc>
        <w:tc>
          <w:tcPr>
            <w:tcW w:w="580" w:type="dxa"/>
            <w:tcBorders>
              <w:top w:val="nil"/>
              <w:left w:val="nil"/>
              <w:bottom w:val="single" w:sz="4" w:space="0" w:color="auto"/>
              <w:right w:val="single" w:sz="4" w:space="0" w:color="auto"/>
            </w:tcBorders>
            <w:vAlign w:val="bottom"/>
          </w:tcPr>
          <w:p w14:paraId="638A7FF8" w14:textId="77777777" w:rsidR="00366ACF" w:rsidRDefault="00366ACF" w:rsidP="00C22EDC">
            <w:pPr>
              <w:jc w:val="center"/>
              <w:rPr>
                <w:rFonts w:eastAsia="Arial Unicode MS"/>
                <w:sz w:val="20"/>
              </w:rPr>
            </w:pPr>
            <w:r>
              <w:rPr>
                <w:sz w:val="20"/>
              </w:rPr>
              <w:t>11</w:t>
            </w:r>
          </w:p>
        </w:tc>
        <w:tc>
          <w:tcPr>
            <w:tcW w:w="579" w:type="dxa"/>
            <w:tcBorders>
              <w:top w:val="nil"/>
              <w:left w:val="nil"/>
              <w:bottom w:val="single" w:sz="4" w:space="0" w:color="auto"/>
              <w:right w:val="single" w:sz="4" w:space="0" w:color="auto"/>
            </w:tcBorders>
            <w:vAlign w:val="bottom"/>
          </w:tcPr>
          <w:p w14:paraId="535C35B1" w14:textId="77777777" w:rsidR="00366ACF" w:rsidRDefault="00366ACF" w:rsidP="00C22EDC">
            <w:pPr>
              <w:jc w:val="center"/>
              <w:rPr>
                <w:rFonts w:eastAsia="Arial Unicode MS"/>
                <w:sz w:val="20"/>
              </w:rPr>
            </w:pPr>
            <w:r>
              <w:rPr>
                <w:sz w:val="20"/>
              </w:rPr>
              <w:t>13</w:t>
            </w:r>
          </w:p>
        </w:tc>
        <w:tc>
          <w:tcPr>
            <w:tcW w:w="580" w:type="dxa"/>
            <w:tcBorders>
              <w:top w:val="nil"/>
              <w:left w:val="nil"/>
              <w:bottom w:val="single" w:sz="4" w:space="0" w:color="auto"/>
              <w:right w:val="single" w:sz="4" w:space="0" w:color="auto"/>
            </w:tcBorders>
            <w:vAlign w:val="bottom"/>
          </w:tcPr>
          <w:p w14:paraId="1384B706" w14:textId="77777777" w:rsidR="00366ACF" w:rsidRDefault="00366ACF" w:rsidP="00C22EDC">
            <w:pPr>
              <w:jc w:val="center"/>
              <w:rPr>
                <w:rFonts w:eastAsia="Arial Unicode MS"/>
                <w:sz w:val="20"/>
              </w:rPr>
            </w:pPr>
            <w:r>
              <w:rPr>
                <w:sz w:val="20"/>
              </w:rPr>
              <w:t>20</w:t>
            </w:r>
          </w:p>
        </w:tc>
        <w:tc>
          <w:tcPr>
            <w:tcW w:w="580" w:type="dxa"/>
            <w:tcBorders>
              <w:top w:val="nil"/>
              <w:left w:val="nil"/>
              <w:bottom w:val="single" w:sz="4" w:space="0" w:color="auto"/>
              <w:right w:val="single" w:sz="4" w:space="0" w:color="auto"/>
            </w:tcBorders>
            <w:vAlign w:val="bottom"/>
          </w:tcPr>
          <w:p w14:paraId="656E0DFC" w14:textId="77777777" w:rsidR="00366ACF" w:rsidRDefault="00366ACF" w:rsidP="00C22EDC">
            <w:pPr>
              <w:jc w:val="center"/>
              <w:rPr>
                <w:rFonts w:eastAsia="Arial Unicode MS"/>
                <w:sz w:val="20"/>
              </w:rPr>
            </w:pPr>
            <w:r>
              <w:rPr>
                <w:sz w:val="20"/>
              </w:rPr>
              <w:t>24</w:t>
            </w:r>
          </w:p>
        </w:tc>
      </w:tr>
      <w:tr w:rsidR="00366ACF" w14:paraId="60312240" w14:textId="77777777" w:rsidTr="00C22EDC">
        <w:trPr>
          <w:trHeight w:val="255"/>
          <w:jc w:val="center"/>
        </w:trPr>
        <w:tc>
          <w:tcPr>
            <w:tcW w:w="355" w:type="dxa"/>
            <w:tcBorders>
              <w:top w:val="nil"/>
              <w:left w:val="single" w:sz="4" w:space="0" w:color="auto"/>
              <w:bottom w:val="single" w:sz="4" w:space="0" w:color="auto"/>
              <w:right w:val="single" w:sz="4" w:space="0" w:color="auto"/>
            </w:tcBorders>
            <w:shd w:val="clear" w:color="auto" w:fill="C0C0C0"/>
            <w:vAlign w:val="bottom"/>
          </w:tcPr>
          <w:p w14:paraId="195FFC84" w14:textId="77777777" w:rsidR="00366ACF" w:rsidRDefault="00366ACF" w:rsidP="00C22EDC">
            <w:pPr>
              <w:jc w:val="center"/>
              <w:rPr>
                <w:rFonts w:eastAsia="Arial Unicode MS"/>
                <w:b/>
                <w:sz w:val="20"/>
              </w:rPr>
            </w:pPr>
            <w:r>
              <w:rPr>
                <w:b/>
                <w:sz w:val="20"/>
              </w:rPr>
              <w:t>20</w:t>
            </w:r>
          </w:p>
        </w:tc>
        <w:tc>
          <w:tcPr>
            <w:tcW w:w="579" w:type="dxa"/>
            <w:tcBorders>
              <w:top w:val="nil"/>
              <w:left w:val="nil"/>
              <w:bottom w:val="single" w:sz="4" w:space="0" w:color="auto"/>
              <w:right w:val="single" w:sz="4" w:space="0" w:color="auto"/>
            </w:tcBorders>
            <w:vAlign w:val="bottom"/>
          </w:tcPr>
          <w:p w14:paraId="126700D7" w14:textId="77777777" w:rsidR="00366ACF" w:rsidRDefault="00366ACF" w:rsidP="00C22EDC">
            <w:pPr>
              <w:jc w:val="center"/>
              <w:rPr>
                <w:rFonts w:eastAsia="Arial Unicode MS"/>
                <w:sz w:val="20"/>
              </w:rPr>
            </w:pPr>
            <w:r>
              <w:rPr>
                <w:sz w:val="20"/>
              </w:rPr>
              <w:t>18</w:t>
            </w:r>
          </w:p>
        </w:tc>
        <w:tc>
          <w:tcPr>
            <w:tcW w:w="580" w:type="dxa"/>
            <w:tcBorders>
              <w:top w:val="nil"/>
              <w:left w:val="nil"/>
              <w:bottom w:val="single" w:sz="4" w:space="0" w:color="auto"/>
              <w:right w:val="single" w:sz="4" w:space="0" w:color="auto"/>
            </w:tcBorders>
            <w:vAlign w:val="bottom"/>
          </w:tcPr>
          <w:p w14:paraId="1497E404" w14:textId="77777777" w:rsidR="00366ACF" w:rsidRDefault="00366ACF" w:rsidP="00C22EDC">
            <w:pPr>
              <w:jc w:val="center"/>
              <w:rPr>
                <w:rFonts w:eastAsia="Arial Unicode MS"/>
                <w:sz w:val="20"/>
              </w:rPr>
            </w:pPr>
            <w:r>
              <w:rPr>
                <w:sz w:val="20"/>
              </w:rPr>
              <w:t>14</w:t>
            </w:r>
          </w:p>
        </w:tc>
        <w:tc>
          <w:tcPr>
            <w:tcW w:w="579" w:type="dxa"/>
            <w:tcBorders>
              <w:top w:val="nil"/>
              <w:left w:val="nil"/>
              <w:bottom w:val="single" w:sz="4" w:space="0" w:color="auto"/>
              <w:right w:val="single" w:sz="4" w:space="0" w:color="auto"/>
            </w:tcBorders>
            <w:vAlign w:val="bottom"/>
          </w:tcPr>
          <w:p w14:paraId="221331DD" w14:textId="77777777" w:rsidR="00366ACF" w:rsidRDefault="00366ACF" w:rsidP="00C22EDC">
            <w:pPr>
              <w:jc w:val="center"/>
              <w:rPr>
                <w:rFonts w:eastAsia="Arial Unicode MS"/>
                <w:sz w:val="20"/>
              </w:rPr>
            </w:pPr>
            <w:r>
              <w:rPr>
                <w:sz w:val="20"/>
              </w:rPr>
              <w:t>13</w:t>
            </w:r>
          </w:p>
        </w:tc>
        <w:tc>
          <w:tcPr>
            <w:tcW w:w="580" w:type="dxa"/>
            <w:tcBorders>
              <w:top w:val="nil"/>
              <w:left w:val="nil"/>
              <w:bottom w:val="single" w:sz="4" w:space="0" w:color="auto"/>
              <w:right w:val="single" w:sz="4" w:space="0" w:color="auto"/>
            </w:tcBorders>
            <w:vAlign w:val="bottom"/>
          </w:tcPr>
          <w:p w14:paraId="556CBEE7" w14:textId="77777777" w:rsidR="00366ACF" w:rsidRDefault="00366ACF" w:rsidP="00C22EDC">
            <w:pPr>
              <w:jc w:val="center"/>
              <w:rPr>
                <w:rFonts w:eastAsia="Arial Unicode MS"/>
                <w:sz w:val="20"/>
              </w:rPr>
            </w:pPr>
            <w:r>
              <w:rPr>
                <w:sz w:val="20"/>
              </w:rPr>
              <w:t>14</w:t>
            </w:r>
          </w:p>
        </w:tc>
        <w:tc>
          <w:tcPr>
            <w:tcW w:w="580" w:type="dxa"/>
            <w:tcBorders>
              <w:top w:val="nil"/>
              <w:left w:val="nil"/>
              <w:bottom w:val="single" w:sz="4" w:space="0" w:color="auto"/>
              <w:right w:val="single" w:sz="4" w:space="0" w:color="auto"/>
            </w:tcBorders>
            <w:vAlign w:val="bottom"/>
          </w:tcPr>
          <w:p w14:paraId="47E49908" w14:textId="77777777" w:rsidR="00366ACF" w:rsidRDefault="00366ACF" w:rsidP="00C22EDC">
            <w:pPr>
              <w:jc w:val="center"/>
              <w:rPr>
                <w:rFonts w:eastAsia="Arial Unicode MS"/>
                <w:sz w:val="20"/>
              </w:rPr>
            </w:pPr>
            <w:r>
              <w:rPr>
                <w:sz w:val="20"/>
              </w:rPr>
              <w:t>17</w:t>
            </w:r>
          </w:p>
        </w:tc>
        <w:tc>
          <w:tcPr>
            <w:tcW w:w="579" w:type="dxa"/>
            <w:tcBorders>
              <w:top w:val="nil"/>
              <w:left w:val="nil"/>
              <w:bottom w:val="single" w:sz="4" w:space="0" w:color="auto"/>
              <w:right w:val="single" w:sz="4" w:space="0" w:color="auto"/>
            </w:tcBorders>
            <w:vAlign w:val="bottom"/>
          </w:tcPr>
          <w:p w14:paraId="27CF9E13" w14:textId="77777777" w:rsidR="00366ACF" w:rsidRDefault="00366ACF" w:rsidP="00C22EDC">
            <w:pPr>
              <w:jc w:val="center"/>
              <w:rPr>
                <w:rFonts w:eastAsia="Arial Unicode MS"/>
                <w:sz w:val="20"/>
              </w:rPr>
            </w:pPr>
            <w:r>
              <w:rPr>
                <w:sz w:val="20"/>
              </w:rPr>
              <w:t>19</w:t>
            </w:r>
          </w:p>
        </w:tc>
        <w:tc>
          <w:tcPr>
            <w:tcW w:w="580" w:type="dxa"/>
            <w:tcBorders>
              <w:top w:val="nil"/>
              <w:left w:val="nil"/>
              <w:bottom w:val="single" w:sz="4" w:space="0" w:color="auto"/>
              <w:right w:val="single" w:sz="4" w:space="0" w:color="auto"/>
            </w:tcBorders>
            <w:vAlign w:val="bottom"/>
          </w:tcPr>
          <w:p w14:paraId="62F01465" w14:textId="77777777" w:rsidR="00366ACF" w:rsidRDefault="00366ACF" w:rsidP="00C22EDC">
            <w:pPr>
              <w:jc w:val="center"/>
              <w:rPr>
                <w:rFonts w:eastAsia="Arial Unicode MS"/>
                <w:sz w:val="20"/>
              </w:rPr>
            </w:pPr>
            <w:r>
              <w:rPr>
                <w:sz w:val="20"/>
              </w:rPr>
              <w:t>20</w:t>
            </w:r>
          </w:p>
        </w:tc>
        <w:tc>
          <w:tcPr>
            <w:tcW w:w="580" w:type="dxa"/>
            <w:tcBorders>
              <w:top w:val="nil"/>
              <w:left w:val="nil"/>
              <w:bottom w:val="single" w:sz="4" w:space="0" w:color="auto"/>
              <w:right w:val="single" w:sz="4" w:space="0" w:color="auto"/>
            </w:tcBorders>
            <w:vAlign w:val="bottom"/>
          </w:tcPr>
          <w:p w14:paraId="2F4B4A33" w14:textId="77777777" w:rsidR="00366ACF" w:rsidRDefault="00366ACF" w:rsidP="00C22EDC">
            <w:pPr>
              <w:jc w:val="center"/>
              <w:rPr>
                <w:rFonts w:eastAsia="Arial Unicode MS"/>
                <w:sz w:val="20"/>
              </w:rPr>
            </w:pPr>
            <w:r>
              <w:rPr>
                <w:sz w:val="20"/>
              </w:rPr>
              <w:t>19</w:t>
            </w:r>
          </w:p>
        </w:tc>
        <w:tc>
          <w:tcPr>
            <w:tcW w:w="579" w:type="dxa"/>
            <w:tcBorders>
              <w:top w:val="nil"/>
              <w:left w:val="nil"/>
              <w:bottom w:val="single" w:sz="4" w:space="0" w:color="auto"/>
              <w:right w:val="single" w:sz="4" w:space="0" w:color="auto"/>
            </w:tcBorders>
            <w:vAlign w:val="bottom"/>
          </w:tcPr>
          <w:p w14:paraId="766A4264" w14:textId="77777777" w:rsidR="00366ACF" w:rsidRDefault="00366ACF" w:rsidP="00C22EDC">
            <w:pPr>
              <w:jc w:val="center"/>
              <w:rPr>
                <w:rFonts w:eastAsia="Arial Unicode MS"/>
                <w:sz w:val="20"/>
              </w:rPr>
            </w:pPr>
            <w:r>
              <w:rPr>
                <w:sz w:val="20"/>
              </w:rPr>
              <w:t>17</w:t>
            </w:r>
          </w:p>
        </w:tc>
        <w:tc>
          <w:tcPr>
            <w:tcW w:w="580" w:type="dxa"/>
            <w:tcBorders>
              <w:top w:val="nil"/>
              <w:left w:val="nil"/>
              <w:bottom w:val="single" w:sz="4" w:space="0" w:color="auto"/>
              <w:right w:val="single" w:sz="4" w:space="0" w:color="auto"/>
            </w:tcBorders>
            <w:vAlign w:val="bottom"/>
          </w:tcPr>
          <w:p w14:paraId="6581FB8C" w14:textId="77777777" w:rsidR="00366ACF" w:rsidRDefault="00366ACF" w:rsidP="00C22EDC">
            <w:pPr>
              <w:jc w:val="center"/>
              <w:rPr>
                <w:rFonts w:eastAsia="Arial Unicode MS"/>
                <w:sz w:val="20"/>
              </w:rPr>
            </w:pPr>
            <w:r>
              <w:rPr>
                <w:sz w:val="20"/>
              </w:rPr>
              <w:t>15</w:t>
            </w:r>
          </w:p>
        </w:tc>
        <w:tc>
          <w:tcPr>
            <w:tcW w:w="580" w:type="dxa"/>
            <w:tcBorders>
              <w:top w:val="nil"/>
              <w:left w:val="nil"/>
              <w:bottom w:val="single" w:sz="4" w:space="0" w:color="auto"/>
              <w:right w:val="single" w:sz="4" w:space="0" w:color="auto"/>
            </w:tcBorders>
            <w:vAlign w:val="bottom"/>
          </w:tcPr>
          <w:p w14:paraId="469C2890" w14:textId="77777777" w:rsidR="00366ACF" w:rsidRDefault="00366ACF" w:rsidP="00C22EDC">
            <w:pPr>
              <w:jc w:val="center"/>
              <w:rPr>
                <w:rFonts w:eastAsia="Arial Unicode MS"/>
                <w:sz w:val="20"/>
              </w:rPr>
            </w:pPr>
            <w:r>
              <w:rPr>
                <w:sz w:val="20"/>
              </w:rPr>
              <w:t>17</w:t>
            </w:r>
          </w:p>
        </w:tc>
        <w:tc>
          <w:tcPr>
            <w:tcW w:w="579" w:type="dxa"/>
            <w:tcBorders>
              <w:top w:val="nil"/>
              <w:left w:val="nil"/>
              <w:bottom w:val="single" w:sz="4" w:space="0" w:color="auto"/>
              <w:right w:val="single" w:sz="4" w:space="0" w:color="auto"/>
            </w:tcBorders>
            <w:vAlign w:val="bottom"/>
          </w:tcPr>
          <w:p w14:paraId="6FCCFC11" w14:textId="77777777" w:rsidR="00366ACF" w:rsidRDefault="00366ACF" w:rsidP="00C22EDC">
            <w:pPr>
              <w:jc w:val="center"/>
              <w:rPr>
                <w:rFonts w:eastAsia="Arial Unicode MS"/>
                <w:sz w:val="20"/>
              </w:rPr>
            </w:pPr>
            <w:r>
              <w:rPr>
                <w:sz w:val="20"/>
              </w:rPr>
              <w:t>20</w:t>
            </w:r>
          </w:p>
        </w:tc>
        <w:tc>
          <w:tcPr>
            <w:tcW w:w="580" w:type="dxa"/>
            <w:tcBorders>
              <w:top w:val="nil"/>
              <w:left w:val="nil"/>
              <w:bottom w:val="single" w:sz="4" w:space="0" w:color="auto"/>
              <w:right w:val="single" w:sz="4" w:space="0" w:color="auto"/>
            </w:tcBorders>
            <w:vAlign w:val="bottom"/>
          </w:tcPr>
          <w:p w14:paraId="25EF1DA0" w14:textId="77777777" w:rsidR="00366ACF" w:rsidRDefault="00366ACF" w:rsidP="00C22EDC">
            <w:pPr>
              <w:jc w:val="center"/>
              <w:rPr>
                <w:rFonts w:eastAsia="Arial Unicode MS"/>
                <w:sz w:val="20"/>
              </w:rPr>
            </w:pPr>
            <w:r>
              <w:rPr>
                <w:sz w:val="20"/>
              </w:rPr>
              <w:t>27</w:t>
            </w:r>
          </w:p>
        </w:tc>
        <w:tc>
          <w:tcPr>
            <w:tcW w:w="580" w:type="dxa"/>
            <w:tcBorders>
              <w:top w:val="nil"/>
              <w:left w:val="nil"/>
              <w:bottom w:val="single" w:sz="4" w:space="0" w:color="auto"/>
              <w:right w:val="single" w:sz="4" w:space="0" w:color="auto"/>
            </w:tcBorders>
            <w:vAlign w:val="bottom"/>
          </w:tcPr>
          <w:p w14:paraId="615049EE" w14:textId="77777777" w:rsidR="00366ACF" w:rsidRDefault="00366ACF" w:rsidP="00C22EDC">
            <w:pPr>
              <w:jc w:val="center"/>
              <w:rPr>
                <w:rFonts w:eastAsia="Arial Unicode MS"/>
                <w:sz w:val="20"/>
              </w:rPr>
            </w:pPr>
            <w:r>
              <w:rPr>
                <w:sz w:val="20"/>
              </w:rPr>
              <w:t>30</w:t>
            </w:r>
          </w:p>
        </w:tc>
      </w:tr>
    </w:tbl>
    <w:p w14:paraId="57FBD594" w14:textId="77777777" w:rsidR="00366ACF" w:rsidRDefault="00366ACF" w:rsidP="004D0F1B">
      <w:pPr>
        <w:pStyle w:val="BodyText"/>
      </w:pPr>
    </w:p>
    <w:p w14:paraId="733D70EB" w14:textId="77777777" w:rsidR="0054504B" w:rsidRPr="0054504B" w:rsidRDefault="0054504B" w:rsidP="0054504B">
      <w:pPr>
        <w:pStyle w:val="BodyText"/>
      </w:pPr>
    </w:p>
    <w:p w14:paraId="1721E5A1" w14:textId="77777777" w:rsidR="007F4390" w:rsidRDefault="007F4390" w:rsidP="0054504B">
      <w:pPr>
        <w:pStyle w:val="Heading2"/>
      </w:pPr>
      <w:bookmarkStart w:id="16" w:name="_Ref459645019"/>
      <w:bookmarkStart w:id="17" w:name="_Toc462254356"/>
      <w:r>
        <w:t>Interference</w:t>
      </w:r>
      <w:bookmarkEnd w:id="16"/>
      <w:bookmarkEnd w:id="17"/>
    </w:p>
    <w:p w14:paraId="0A730784" w14:textId="77777777" w:rsidR="0054504B" w:rsidRDefault="0054504B" w:rsidP="0054504B">
      <w:pPr>
        <w:pStyle w:val="Heading2separationline"/>
      </w:pPr>
    </w:p>
    <w:p w14:paraId="79F40501" w14:textId="115870A6" w:rsidR="00ED69E3" w:rsidRDefault="00ED69E3" w:rsidP="0054504B">
      <w:pPr>
        <w:pStyle w:val="BodyText"/>
      </w:pPr>
      <w:r>
        <w:t>M</w:t>
      </w:r>
      <w:r w:rsidR="00EE3B4D">
        <w:t>arine radiobeacon</w:t>
      </w:r>
      <w:r>
        <w:t xml:space="preserve">s broadcast in frequency </w:t>
      </w:r>
      <w:r w:rsidR="00EE3B4D">
        <w:t>band</w:t>
      </w:r>
      <w:r>
        <w:t>s set by the ITU o</w:t>
      </w:r>
      <w:r w:rsidR="00EE3B4D">
        <w:t>f 283.5-315</w:t>
      </w:r>
      <w:r>
        <w:t xml:space="preserve"> kHz</w:t>
      </w:r>
      <w:r w:rsidR="00EE3B4D">
        <w:t xml:space="preserve"> in Region 1 and</w:t>
      </w:r>
      <w:r>
        <w:t xml:space="preserve"> 285-325 kHz in Regions 2 and 3.  These regions </w:t>
      </w:r>
      <w:proofErr w:type="gramStart"/>
      <w:r>
        <w:t>are defined</w:t>
      </w:r>
      <w:proofErr w:type="gramEnd"/>
      <w:r>
        <w:t xml:space="preserve"> in the World Radio Regulations [</w:t>
      </w:r>
      <w:r w:rsidR="009A32FC">
        <w:fldChar w:fldCharType="begin"/>
      </w:r>
      <w:r w:rsidR="009A32FC">
        <w:instrText xml:space="preserve"> REF _Ref459643933 \r \h </w:instrText>
      </w:r>
      <w:r w:rsidR="009A32FC">
        <w:fldChar w:fldCharType="separate"/>
      </w:r>
      <w:r w:rsidR="009A32FC">
        <w:t>8</w:t>
      </w:r>
      <w:r w:rsidR="009A32FC">
        <w:fldChar w:fldCharType="end"/>
      </w:r>
      <w:r>
        <w:t xml:space="preserve">].  </w:t>
      </w:r>
      <w:r w:rsidR="004B59B2">
        <w:t>T</w:t>
      </w:r>
      <w:r>
        <w:t xml:space="preserve">ransmissions </w:t>
      </w:r>
      <w:r w:rsidR="004B59B2">
        <w:t>from aeronautical and direction finding beacons</w:t>
      </w:r>
      <w:r w:rsidR="00E9296D">
        <w:t>, in addition to other marine r</w:t>
      </w:r>
      <w:r w:rsidR="004B59B2">
        <w:t xml:space="preserve">adiobeacons are </w:t>
      </w:r>
      <w:r>
        <w:t>permitted within these bands and any signal, other than the wanted signal, can potentially cause interference.</w:t>
      </w:r>
      <w:r w:rsidR="004B59B2">
        <w:t xml:space="preserve">  </w:t>
      </w:r>
    </w:p>
    <w:p w14:paraId="2170DE18" w14:textId="77777777" w:rsidR="004B59B2" w:rsidRDefault="004B59B2" w:rsidP="0054504B">
      <w:pPr>
        <w:pStyle w:val="BodyText"/>
      </w:pPr>
      <w:r>
        <w:t xml:space="preserve">The </w:t>
      </w:r>
      <w:r w:rsidR="002E04FB">
        <w:t>ITU</w:t>
      </w:r>
      <w:r>
        <w:t xml:space="preserve"> provide interference protection levels </w:t>
      </w:r>
      <w:r w:rsidR="009F2C42">
        <w:t>for use in</w:t>
      </w:r>
      <w:r>
        <w:t xml:space="preserve"> marine radiobeacon receivers</w:t>
      </w:r>
      <w:r w:rsidR="002E04FB">
        <w:t xml:space="preserve"> [</w:t>
      </w:r>
      <w:r w:rsidR="009A32FC">
        <w:fldChar w:fldCharType="begin"/>
      </w:r>
      <w:r w:rsidR="009A32FC">
        <w:instrText xml:space="preserve"> REF _Ref459644050 \r \h </w:instrText>
      </w:r>
      <w:r w:rsidR="009A32FC">
        <w:fldChar w:fldCharType="separate"/>
      </w:r>
      <w:r w:rsidR="009A32FC">
        <w:t>9</w:t>
      </w:r>
      <w:r w:rsidR="009A32FC">
        <w:fldChar w:fldCharType="end"/>
      </w:r>
      <w:r w:rsidR="002E04FB">
        <w:t xml:space="preserve">], from which </w:t>
      </w:r>
      <w:r w:rsidR="00FA2DDD">
        <w:fldChar w:fldCharType="begin"/>
      </w:r>
      <w:r w:rsidR="00FA2DDD">
        <w:instrText xml:space="preserve"> REF _Ref459644532 \h </w:instrText>
      </w:r>
      <w:r w:rsidR="00FA2DDD">
        <w:fldChar w:fldCharType="separate"/>
      </w:r>
      <w:r w:rsidR="00FA2DDD">
        <w:t xml:space="preserve">Table </w:t>
      </w:r>
      <w:r w:rsidR="00FA2DDD">
        <w:rPr>
          <w:noProof/>
        </w:rPr>
        <w:t>2</w:t>
      </w:r>
      <w:r w:rsidR="00FA2DDD">
        <w:fldChar w:fldCharType="end"/>
      </w:r>
      <w:r w:rsidR="002E04FB">
        <w:t xml:space="preserve"> </w:t>
      </w:r>
      <w:proofErr w:type="gramStart"/>
      <w:r w:rsidR="002E04FB">
        <w:t>is derived</w:t>
      </w:r>
      <w:proofErr w:type="gramEnd"/>
      <w:r w:rsidR="002E04FB">
        <w:t>.</w:t>
      </w:r>
      <w:r>
        <w:t xml:space="preserve">   The table considers the wanted signal strength in relation to the signal from the potential interference source, along with any frequency separation.  </w:t>
      </w:r>
      <w:r w:rsidR="00473303">
        <w:t xml:space="preserve">  From </w:t>
      </w:r>
      <w:r w:rsidR="00FA2DDD">
        <w:fldChar w:fldCharType="begin"/>
      </w:r>
      <w:r w:rsidR="00FA2DDD">
        <w:instrText xml:space="preserve"> REF _Ref459644532 \h </w:instrText>
      </w:r>
      <w:r w:rsidR="00FA2DDD">
        <w:fldChar w:fldCharType="separate"/>
      </w:r>
      <w:r w:rsidR="00FA2DDD">
        <w:t xml:space="preserve">Table </w:t>
      </w:r>
      <w:r w:rsidR="00FA2DDD">
        <w:rPr>
          <w:noProof/>
        </w:rPr>
        <w:t>2</w:t>
      </w:r>
      <w:r w:rsidR="00FA2DDD">
        <w:fldChar w:fldCharType="end"/>
      </w:r>
      <w:r w:rsidR="00473303">
        <w:t xml:space="preserve">, it </w:t>
      </w:r>
      <w:proofErr w:type="gramStart"/>
      <w:r w:rsidR="00473303">
        <w:t>can be read</w:t>
      </w:r>
      <w:proofErr w:type="gramEnd"/>
      <w:r w:rsidR="00473303">
        <w:t xml:space="preserve"> that if the wanted si</w:t>
      </w:r>
      <w:r w:rsidR="00CD6397">
        <w:t>gnal was a differential beacon</w:t>
      </w:r>
      <w:r w:rsidR="00473303">
        <w:t xml:space="preserve"> and the interference source </w:t>
      </w:r>
      <w:r w:rsidR="00061B99">
        <w:t>was also a differential beacon and if</w:t>
      </w:r>
      <w:r w:rsidR="00473303">
        <w:t xml:space="preserve"> they were both on the same channel, the wanted signal would need to be 15dB greater than the interfering signal.  If the stations were separated by 1 kHz, then the interference signal could be up to 22dB stronger than the wanted signal without preventing reception of the wanted signal.  </w:t>
      </w:r>
    </w:p>
    <w:p w14:paraId="0204F366" w14:textId="77777777" w:rsidR="00F64BF1" w:rsidRDefault="00F64BF1" w:rsidP="00F64BF1">
      <w:pPr>
        <w:pStyle w:val="Caption"/>
        <w:keepNext/>
        <w:jc w:val="center"/>
      </w:pPr>
      <w:bookmarkStart w:id="18" w:name="_Ref459644532"/>
      <w:bookmarkStart w:id="19" w:name="_Toc462254372"/>
      <w:r>
        <w:t xml:space="preserve">Table </w:t>
      </w:r>
      <w:r>
        <w:fldChar w:fldCharType="begin"/>
      </w:r>
      <w:r>
        <w:instrText xml:space="preserve"> SEQ Table \* ARABIC </w:instrText>
      </w:r>
      <w:r>
        <w:fldChar w:fldCharType="separate"/>
      </w:r>
      <w:r w:rsidR="008F2A22">
        <w:rPr>
          <w:noProof/>
        </w:rPr>
        <w:t>2</w:t>
      </w:r>
      <w:r>
        <w:fldChar w:fldCharType="end"/>
      </w:r>
      <w:bookmarkEnd w:id="18"/>
      <w:r>
        <w:t>: Protection radios as provided in ITU-R M.823</w:t>
      </w:r>
      <w:r w:rsidR="009A32FC">
        <w:t xml:space="preserve"> [</w:t>
      </w:r>
      <w:r w:rsidR="009A32FC">
        <w:fldChar w:fldCharType="begin"/>
      </w:r>
      <w:r w:rsidR="009A32FC">
        <w:instrText xml:space="preserve"> REF _Ref459644050 \r \h </w:instrText>
      </w:r>
      <w:r w:rsidR="009A32FC">
        <w:fldChar w:fldCharType="separate"/>
      </w:r>
      <w:r w:rsidR="009A32FC">
        <w:t>9</w:t>
      </w:r>
      <w:r w:rsidR="009A32FC">
        <w:fldChar w:fldCharType="end"/>
      </w:r>
      <w:r w:rsidR="009A32FC">
        <w:t>]</w:t>
      </w:r>
      <w:r>
        <w:t>.</w:t>
      </w:r>
      <w:bookmarkEnd w:id="19"/>
    </w:p>
    <w:p w14:paraId="12FA37C5" w14:textId="77777777" w:rsidR="00473303" w:rsidRDefault="00473303" w:rsidP="00473303">
      <w:pPr>
        <w:keepNext/>
        <w:spacing w:line="240" w:lineRule="auto"/>
        <w:jc w:val="center"/>
      </w:pPr>
      <w:r w:rsidRPr="00473303">
        <w:rPr>
          <w:rFonts w:ascii="Calibri" w:eastAsia="Times New Roman" w:hAnsi="Calibri" w:cs="Times New Roman"/>
          <w:noProof/>
          <w:color w:val="000000"/>
          <w:sz w:val="22"/>
          <w:lang w:val="en-IE" w:eastAsia="en-IE"/>
        </w:rPr>
        <w:drawing>
          <wp:inline distT="0" distB="0" distL="0" distR="0" wp14:anchorId="2067FB92" wp14:editId="502AE442">
            <wp:extent cx="5074351" cy="2419350"/>
            <wp:effectExtent l="0" t="0" r="0" b="0"/>
            <wp:docPr id="7" name="Picture 7" descr="Machine generated alternative text:&#10;Fiequenc’v separation&#10;bemeen wanted and&#10;interfering ¶ignal&#10;(kHz)&#10;Protection LatiO&#10;(dB)&#10;.&#10;W anted&#10;Radio beacon1)&#10;(AL)&#10;Differential&#10;(Gil))&#10;Differential&#10;(Gil))&#10;Radio beacona)&#10;(AlA)&#10;.&#10;Interfering&#10;Differential&#10;(G1D)&#10;Radio beacon&#10;(AlA)&#10;Differential&#10;(Gil))&#10;Radio beacon&#10;(AlA)&#10;0&#10;0.5&#10;1.0&#10;1.5&#10;2.0&#10;15&#10;—39&#10;—60&#10;—60&#10;—&#10;15&#10;—25&#10;—45&#10;—50&#10;—55&#10;15&#10;—22&#10;—36&#10;—42&#10;—47&#10;15&#10;—39&#10;—60&#10;—60&#10;—&#10;(1) Applicable to radio beacons in the European maritime aiea under the 1985 Geneva Aeen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Machine generated alternative text:&#10;Fiequenc’v separation&#10;bemeen wanted and&#10;interfering ¶ignal&#10;(kHz)&#10;Protection LatiO&#10;(dB)&#10;.&#10;W anted&#10;Radio beacon1)&#10;(AL)&#10;Differential&#10;(Gil))&#10;Differential&#10;(Gil))&#10;Radio beacona)&#10;(AlA)&#10;.&#10;Interfering&#10;Differential&#10;(G1D)&#10;Radio beacon&#10;(AlA)&#10;Differential&#10;(Gil))&#10;Radio beacon&#10;(AlA)&#10;0&#10;0.5&#10;1.0&#10;1.5&#10;2.0&#10;15&#10;—39&#10;—60&#10;—60&#10;—&#10;15&#10;—25&#10;—45&#10;—50&#10;—55&#10;15&#10;—22&#10;—36&#10;—42&#10;—47&#10;15&#10;—39&#10;—60&#10;—60&#10;—&#10;(1) Applicable to radio beacons in the European maritime aiea under the 1985 Geneva Aeenn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75823" cy="2420052"/>
                    </a:xfrm>
                    <a:prstGeom prst="rect">
                      <a:avLst/>
                    </a:prstGeom>
                    <a:noFill/>
                    <a:ln>
                      <a:noFill/>
                    </a:ln>
                  </pic:spPr>
                </pic:pic>
              </a:graphicData>
            </a:graphic>
          </wp:inline>
        </w:drawing>
      </w:r>
    </w:p>
    <w:p w14:paraId="243A3E63" w14:textId="77777777" w:rsidR="00473303" w:rsidRPr="00473303" w:rsidRDefault="00473303" w:rsidP="00473303">
      <w:pPr>
        <w:spacing w:line="240" w:lineRule="auto"/>
        <w:rPr>
          <w:rFonts w:ascii="Calibri" w:eastAsia="Times New Roman" w:hAnsi="Calibri" w:cs="Times New Roman"/>
          <w:color w:val="595959"/>
          <w:szCs w:val="18"/>
          <w:lang w:eastAsia="en-GB"/>
        </w:rPr>
      </w:pPr>
      <w:r w:rsidRPr="00473303">
        <w:rPr>
          <w:rFonts w:ascii="Calibri" w:eastAsia="Times New Roman" w:hAnsi="Calibri" w:cs="Times New Roman"/>
          <w:color w:val="595959"/>
          <w:szCs w:val="18"/>
          <w:lang w:eastAsia="en-GB"/>
        </w:rPr>
        <w:t> </w:t>
      </w:r>
    </w:p>
    <w:p w14:paraId="697820D2" w14:textId="77777777" w:rsidR="00473303" w:rsidRDefault="00F64BF1" w:rsidP="00473303">
      <w:pPr>
        <w:spacing w:line="240" w:lineRule="auto"/>
        <w:rPr>
          <w:sz w:val="22"/>
        </w:rPr>
      </w:pPr>
      <w:r w:rsidRPr="00F64BF1">
        <w:rPr>
          <w:sz w:val="22"/>
        </w:rPr>
        <w:t xml:space="preserve">While IALA maintains a list of all marine beacon transmissions, other sources may need to be considered </w:t>
      </w:r>
      <w:r w:rsidR="0020095A" w:rsidRPr="00F64BF1">
        <w:rPr>
          <w:sz w:val="22"/>
        </w:rPr>
        <w:t>(</w:t>
      </w:r>
      <w:r w:rsidR="0020095A">
        <w:rPr>
          <w:sz w:val="22"/>
        </w:rPr>
        <w:t>possibly</w:t>
      </w:r>
      <w:r w:rsidR="0020095A" w:rsidRPr="00F64BF1">
        <w:rPr>
          <w:sz w:val="22"/>
        </w:rPr>
        <w:t xml:space="preserve"> from the local radio regulator)</w:t>
      </w:r>
      <w:r w:rsidR="0020095A">
        <w:rPr>
          <w:sz w:val="22"/>
        </w:rPr>
        <w:t xml:space="preserve"> </w:t>
      </w:r>
      <w:r w:rsidRPr="00F64BF1">
        <w:rPr>
          <w:sz w:val="22"/>
        </w:rPr>
        <w:t>to get a full and up-to-date list of other transmissions in the band</w:t>
      </w:r>
      <w:r w:rsidR="0020095A">
        <w:rPr>
          <w:sz w:val="22"/>
        </w:rPr>
        <w:t>, in the area being considered</w:t>
      </w:r>
      <w:r w:rsidRPr="00F64BF1">
        <w:rPr>
          <w:sz w:val="22"/>
        </w:rPr>
        <w:t>.</w:t>
      </w:r>
      <w:r w:rsidR="0020095A">
        <w:rPr>
          <w:sz w:val="22"/>
        </w:rPr>
        <w:t xml:space="preserve">   It should be noted that the strongest differential beacons </w:t>
      </w:r>
      <w:proofErr w:type="gramStart"/>
      <w:r w:rsidR="00061B99">
        <w:rPr>
          <w:sz w:val="22"/>
        </w:rPr>
        <w:t>can</w:t>
      </w:r>
      <w:proofErr w:type="gramEnd"/>
      <w:r w:rsidR="0020095A">
        <w:rPr>
          <w:sz w:val="22"/>
        </w:rPr>
        <w:t xml:space="preserve"> cause interference 4200km away at night [</w:t>
      </w:r>
      <w:r w:rsidR="009A32FC">
        <w:rPr>
          <w:sz w:val="22"/>
        </w:rPr>
        <w:fldChar w:fldCharType="begin"/>
      </w:r>
      <w:r w:rsidR="009A32FC">
        <w:rPr>
          <w:sz w:val="22"/>
        </w:rPr>
        <w:instrText xml:space="preserve"> REF _Ref459644001 \r \h </w:instrText>
      </w:r>
      <w:r w:rsidR="009A32FC">
        <w:rPr>
          <w:sz w:val="22"/>
        </w:rPr>
      </w:r>
      <w:r w:rsidR="009A32FC">
        <w:rPr>
          <w:sz w:val="22"/>
        </w:rPr>
        <w:fldChar w:fldCharType="separate"/>
      </w:r>
      <w:r w:rsidR="009A32FC">
        <w:rPr>
          <w:sz w:val="22"/>
        </w:rPr>
        <w:t>7</w:t>
      </w:r>
      <w:r w:rsidR="009A32FC">
        <w:rPr>
          <w:sz w:val="22"/>
        </w:rPr>
        <w:fldChar w:fldCharType="end"/>
      </w:r>
      <w:r w:rsidR="0020095A">
        <w:rPr>
          <w:sz w:val="22"/>
        </w:rPr>
        <w:t>].</w:t>
      </w:r>
      <w:r w:rsidRPr="00F64BF1">
        <w:rPr>
          <w:sz w:val="22"/>
        </w:rPr>
        <w:t xml:space="preserve">  </w:t>
      </w:r>
    </w:p>
    <w:p w14:paraId="409015B8" w14:textId="77777777" w:rsidR="003E1A8A" w:rsidRDefault="003E1A8A" w:rsidP="00473303">
      <w:pPr>
        <w:spacing w:line="240" w:lineRule="auto"/>
        <w:rPr>
          <w:sz w:val="22"/>
        </w:rPr>
      </w:pPr>
    </w:p>
    <w:p w14:paraId="729E103A" w14:textId="77777777" w:rsidR="003E1A8A" w:rsidRPr="00473303" w:rsidRDefault="003E1A8A" w:rsidP="00473303">
      <w:pPr>
        <w:spacing w:line="240" w:lineRule="auto"/>
        <w:rPr>
          <w:sz w:val="22"/>
        </w:rPr>
      </w:pPr>
      <w:r>
        <w:rPr>
          <w:sz w:val="22"/>
        </w:rPr>
        <w:t xml:space="preserve">Interference by groundwave is present both during daytime and </w:t>
      </w:r>
      <w:proofErr w:type="gramStart"/>
      <w:r w:rsidR="00061B99">
        <w:rPr>
          <w:sz w:val="22"/>
        </w:rPr>
        <w:t>night time</w:t>
      </w:r>
      <w:proofErr w:type="gramEnd"/>
      <w:r>
        <w:rPr>
          <w:sz w:val="22"/>
        </w:rPr>
        <w:t xml:space="preserve"> conditions, however skywave interference is only considered at night. </w:t>
      </w:r>
    </w:p>
    <w:p w14:paraId="34E17FDA" w14:textId="77777777" w:rsidR="004D0F1B" w:rsidRPr="0054504B" w:rsidRDefault="00473303" w:rsidP="00473303">
      <w:pPr>
        <w:spacing w:line="240" w:lineRule="auto"/>
      </w:pPr>
      <w:r w:rsidRPr="00473303">
        <w:rPr>
          <w:rFonts w:ascii="Calibri" w:eastAsia="Times New Roman" w:hAnsi="Calibri" w:cs="Times New Roman"/>
          <w:color w:val="000000"/>
          <w:sz w:val="22"/>
          <w:lang w:eastAsia="en-GB"/>
        </w:rPr>
        <w:t> </w:t>
      </w:r>
    </w:p>
    <w:p w14:paraId="49F28E8F" w14:textId="77777777" w:rsidR="007F4390" w:rsidRDefault="00965860" w:rsidP="007F4390">
      <w:pPr>
        <w:pStyle w:val="Heading1"/>
      </w:pPr>
      <w:bookmarkStart w:id="20" w:name="_Toc462254357"/>
      <w:r>
        <w:lastRenderedPageBreak/>
        <w:t>DEFINING THE COVERAGE AREA</w:t>
      </w:r>
      <w:bookmarkEnd w:id="20"/>
    </w:p>
    <w:p w14:paraId="7953DEE9" w14:textId="77777777" w:rsidR="007F4390" w:rsidRDefault="007F4390" w:rsidP="007F4390">
      <w:pPr>
        <w:pStyle w:val="Heading1separatationline"/>
      </w:pPr>
    </w:p>
    <w:p w14:paraId="219B7E1E" w14:textId="09466424" w:rsidR="007F4390" w:rsidRDefault="00473303" w:rsidP="007F4390">
      <w:pPr>
        <w:pStyle w:val="BodyText"/>
      </w:pPr>
      <w:r>
        <w:t xml:space="preserve">The definition of a coverage area can have multiple parts.  For example, it can be limited </w:t>
      </w:r>
      <w:r w:rsidR="002E04FB">
        <w:t>by signal characteristics and a required</w:t>
      </w:r>
      <w:r>
        <w:t xml:space="preserve"> accuracy level.   </w:t>
      </w:r>
      <w:r w:rsidR="002E04FB">
        <w:t>A transmission with a signal strength exceeding 10</w:t>
      </w:r>
      <w:r w:rsidR="00E9296D">
        <w:rPr>
          <w:rFonts w:ascii="Symbol" w:hAnsi="Symbol"/>
        </w:rPr>
        <w:t></w:t>
      </w:r>
      <w:r w:rsidR="002E04FB">
        <w:t>V/m (20dB</w:t>
      </w:r>
      <w:r w:rsidR="00E9296D">
        <w:rPr>
          <w:rFonts w:ascii="Symbol" w:hAnsi="Symbol"/>
        </w:rPr>
        <w:t></w:t>
      </w:r>
      <w:r w:rsidR="002E04FB">
        <w:t>V</w:t>
      </w:r>
      <w:r w:rsidR="00E9296D">
        <w:t>/m</w:t>
      </w:r>
      <w:r w:rsidR="002E04FB">
        <w:t xml:space="preserve">) and a </w:t>
      </w:r>
      <w:r w:rsidR="002E5FD8">
        <w:t>SNR</w:t>
      </w:r>
      <w:r w:rsidR="002E04FB">
        <w:t xml:space="preserve"> exceeding 7dB is required for a maritime receiver to maintain reception and operate effectively [</w:t>
      </w:r>
      <w:r w:rsidR="009A32FC">
        <w:fldChar w:fldCharType="begin"/>
      </w:r>
      <w:r w:rsidR="009A32FC">
        <w:instrText xml:space="preserve"> REF _Ref459644050 \r \h </w:instrText>
      </w:r>
      <w:r w:rsidR="009A32FC">
        <w:fldChar w:fldCharType="separate"/>
      </w:r>
      <w:r w:rsidR="009A32FC">
        <w:t>9</w:t>
      </w:r>
      <w:r w:rsidR="009A32FC">
        <w:fldChar w:fldCharType="end"/>
      </w:r>
      <w:r w:rsidR="002E04FB">
        <w:t>]</w:t>
      </w:r>
      <w:r>
        <w:t xml:space="preserve">. </w:t>
      </w:r>
    </w:p>
    <w:p w14:paraId="654206E9" w14:textId="77777777" w:rsidR="00F64BF1" w:rsidRDefault="002E04FB" w:rsidP="00614F57">
      <w:pPr>
        <w:pStyle w:val="BodyText"/>
      </w:pPr>
      <w:r>
        <w:t xml:space="preserve">Service providers may also wish to limit the coverage area by accuracy, or a suitable distance within which they provide their service.   Where accuracies are provided, </w:t>
      </w:r>
      <w:r w:rsidR="00F64BF1">
        <w:t xml:space="preserve">the excepted accuracy can be calculated based on the known accuracy level at the reference station and then factoring in spatial decorrelation as described in G-1112.    </w:t>
      </w:r>
    </w:p>
    <w:p w14:paraId="310FF375" w14:textId="77777777" w:rsidR="00F64BF1" w:rsidRDefault="00F64BF1" w:rsidP="00614F57">
      <w:pPr>
        <w:pStyle w:val="BodyText"/>
      </w:pPr>
      <w:r>
        <w:t>The usable coverage area would then be the area where the signal</w:t>
      </w:r>
      <w:r w:rsidR="003275B2">
        <w:t xml:space="preserve">, and if required, </w:t>
      </w:r>
      <w:r>
        <w:t xml:space="preserve">accuracy requirements were both met. </w:t>
      </w:r>
    </w:p>
    <w:p w14:paraId="4BFBAF09" w14:textId="77777777" w:rsidR="007F4390" w:rsidRDefault="00965860" w:rsidP="007F4390">
      <w:pPr>
        <w:pStyle w:val="Heading1"/>
      </w:pPr>
      <w:bookmarkStart w:id="21" w:name="_Toc462254358"/>
      <w:r>
        <w:t>EXAMPLE CALCULATION</w:t>
      </w:r>
      <w:bookmarkEnd w:id="21"/>
    </w:p>
    <w:p w14:paraId="1176DCD1" w14:textId="77777777" w:rsidR="00930B08" w:rsidRDefault="00F64BF1" w:rsidP="00614F57">
      <w:pPr>
        <w:pStyle w:val="BodyText"/>
      </w:pPr>
      <w:r>
        <w:t xml:space="preserve">This section considers a worked example </w:t>
      </w:r>
      <w:r w:rsidR="00182DE2">
        <w:t>using the</w:t>
      </w:r>
      <w:r w:rsidR="00930B08">
        <w:t xml:space="preserve"> </w:t>
      </w:r>
      <w:r w:rsidR="007F2CBA">
        <w:t>Flamborough Head</w:t>
      </w:r>
      <w:r w:rsidR="00930B08">
        <w:t xml:space="preserve"> DGPS station on the </w:t>
      </w:r>
      <w:r w:rsidR="00182DE2">
        <w:t>east</w:t>
      </w:r>
      <w:r w:rsidR="00930B08">
        <w:t xml:space="preserve"> coast of the UK</w:t>
      </w:r>
      <w:r w:rsidR="00182DE2">
        <w:t xml:space="preserve"> as the wanted station and </w:t>
      </w:r>
      <w:r w:rsidR="007F2CBA">
        <w:t>Bla</w:t>
      </w:r>
      <w:r w:rsidR="009518B2">
        <w:t>van</w:t>
      </w:r>
      <w:r w:rsidR="007F2CBA">
        <w:t>dshuk DGPS station in Denmark</w:t>
      </w:r>
      <w:r w:rsidR="00182DE2">
        <w:t xml:space="preserve"> as a potential source of groundwave interference and the </w:t>
      </w:r>
      <w:r w:rsidR="007F2CBA">
        <w:t>Finish DGPS</w:t>
      </w:r>
      <w:r w:rsidR="00182DE2">
        <w:t xml:space="preserve"> station of </w:t>
      </w:r>
      <w:r w:rsidR="007F2CBA">
        <w:t xml:space="preserve">Kokkola </w:t>
      </w:r>
      <w:r w:rsidR="00182DE2">
        <w:t xml:space="preserve">as a potential source of skywave interference.  </w:t>
      </w:r>
      <w:r w:rsidR="00FA2DDD">
        <w:fldChar w:fldCharType="begin"/>
      </w:r>
      <w:r w:rsidR="00FA2DDD">
        <w:instrText xml:space="preserve"> REF _Ref459644561 \h </w:instrText>
      </w:r>
      <w:r w:rsidR="00FA2DDD">
        <w:fldChar w:fldCharType="separate"/>
      </w:r>
      <w:r w:rsidR="00FA2DDD">
        <w:t xml:space="preserve">Table </w:t>
      </w:r>
      <w:r w:rsidR="00FA2DDD">
        <w:rPr>
          <w:noProof/>
        </w:rPr>
        <w:t>3</w:t>
      </w:r>
      <w:r w:rsidR="00FA2DDD">
        <w:fldChar w:fldCharType="end"/>
      </w:r>
      <w:r w:rsidR="00FA2DDD">
        <w:t xml:space="preserve"> </w:t>
      </w:r>
      <w:r w:rsidR="00182DE2">
        <w:t xml:space="preserve">provides details of the station characteristics collated from the IALA list of radiobeacons. </w:t>
      </w:r>
    </w:p>
    <w:p w14:paraId="1801EAA9" w14:textId="77777777" w:rsidR="00182DE2" w:rsidRDefault="00182DE2" w:rsidP="00614F57">
      <w:pPr>
        <w:pStyle w:val="BodyText"/>
      </w:pPr>
    </w:p>
    <w:p w14:paraId="1C9419BB" w14:textId="77777777" w:rsidR="008F2A22" w:rsidRDefault="008F2A22" w:rsidP="008F2A22">
      <w:pPr>
        <w:pStyle w:val="Caption"/>
        <w:keepNext/>
        <w:jc w:val="center"/>
      </w:pPr>
      <w:bookmarkStart w:id="22" w:name="_Ref459644561"/>
      <w:bookmarkStart w:id="23" w:name="_Toc462254373"/>
      <w:r>
        <w:t xml:space="preserve">Table </w:t>
      </w:r>
      <w:r>
        <w:fldChar w:fldCharType="begin"/>
      </w:r>
      <w:r>
        <w:instrText xml:space="preserve"> SEQ Table \* ARABIC </w:instrText>
      </w:r>
      <w:r>
        <w:fldChar w:fldCharType="separate"/>
      </w:r>
      <w:r>
        <w:rPr>
          <w:noProof/>
        </w:rPr>
        <w:t>3</w:t>
      </w:r>
      <w:r>
        <w:fldChar w:fldCharType="end"/>
      </w:r>
      <w:bookmarkEnd w:id="22"/>
      <w:r>
        <w:t>: Details for the three stations used in the example, as taken from IALA list of radiobeacons [</w:t>
      </w:r>
      <w:r>
        <w:fldChar w:fldCharType="begin"/>
      </w:r>
      <w:r>
        <w:instrText xml:space="preserve"> REF _Ref459644094 \r \h </w:instrText>
      </w:r>
      <w:r>
        <w:fldChar w:fldCharType="separate"/>
      </w:r>
      <w:r>
        <w:t>10</w:t>
      </w:r>
      <w:r>
        <w:fldChar w:fldCharType="end"/>
      </w:r>
      <w:r>
        <w:t>]</w:t>
      </w:r>
      <w:bookmarkEnd w:id="23"/>
    </w:p>
    <w:p w14:paraId="78ABE795" w14:textId="77777777" w:rsidR="00930B08" w:rsidRDefault="00BB7774" w:rsidP="00930B08">
      <w:pPr>
        <w:pStyle w:val="BodyText"/>
        <w:keepNext/>
      </w:pPr>
      <w:r>
        <w:rPr>
          <w:noProof/>
          <w:lang w:val="en-IE" w:eastAsia="en-IE"/>
        </w:rPr>
        <w:drawing>
          <wp:inline distT="0" distB="0" distL="0" distR="0" wp14:anchorId="1883981D" wp14:editId="0B6F45BD">
            <wp:extent cx="6480175" cy="138430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GPS example details.png"/>
                    <pic:cNvPicPr/>
                  </pic:nvPicPr>
                  <pic:blipFill>
                    <a:blip r:embed="rId33">
                      <a:extLst>
                        <a:ext uri="{28A0092B-C50C-407E-A947-70E740481C1C}">
                          <a14:useLocalDpi xmlns:a14="http://schemas.microsoft.com/office/drawing/2010/main" val="0"/>
                        </a:ext>
                      </a:extLst>
                    </a:blip>
                    <a:stretch>
                      <a:fillRect/>
                    </a:stretch>
                  </pic:blipFill>
                  <pic:spPr>
                    <a:xfrm>
                      <a:off x="0" y="0"/>
                      <a:ext cx="6480175" cy="1384300"/>
                    </a:xfrm>
                    <a:prstGeom prst="rect">
                      <a:avLst/>
                    </a:prstGeom>
                  </pic:spPr>
                </pic:pic>
              </a:graphicData>
            </a:graphic>
          </wp:inline>
        </w:drawing>
      </w:r>
    </w:p>
    <w:p w14:paraId="75E0385C" w14:textId="77777777" w:rsidR="00F64BF1" w:rsidRDefault="00F64BF1" w:rsidP="00614F57">
      <w:pPr>
        <w:pStyle w:val="BodyText"/>
      </w:pPr>
    </w:p>
    <w:p w14:paraId="35DF1DBB" w14:textId="77777777" w:rsidR="00930B08" w:rsidRDefault="00182DE2" w:rsidP="00614F57">
      <w:pPr>
        <w:pStyle w:val="BodyText"/>
      </w:pPr>
      <w:r>
        <w:t xml:space="preserve">The worked example will consider the impact of the different signals </w:t>
      </w:r>
      <w:r w:rsidR="0086501B">
        <w:t>at a location in the North Sea, to determine whether the signal from North Foreland is usable in this location.  The test point is given as 51.5</w:t>
      </w:r>
      <w:r w:rsidR="0086501B" w:rsidRPr="0086501B">
        <w:rPr>
          <w:vertAlign w:val="superscript"/>
        </w:rPr>
        <w:t>o</w:t>
      </w:r>
      <w:r w:rsidR="0086501B">
        <w:t>N and 2</w:t>
      </w:r>
      <w:r w:rsidR="0086501B" w:rsidRPr="0086501B">
        <w:rPr>
          <w:vertAlign w:val="superscript"/>
        </w:rPr>
        <w:t>o</w:t>
      </w:r>
      <w:r w:rsidR="0086501B">
        <w:t>E.</w:t>
      </w:r>
    </w:p>
    <w:p w14:paraId="4B844F99" w14:textId="77777777" w:rsidR="007F2CBA" w:rsidRDefault="007F2CBA" w:rsidP="00614F57">
      <w:pPr>
        <w:pStyle w:val="BodyText"/>
      </w:pPr>
    </w:p>
    <w:p w14:paraId="2DEE710E" w14:textId="77777777" w:rsidR="007F2CBA" w:rsidRDefault="00965860" w:rsidP="007F2CBA">
      <w:pPr>
        <w:pStyle w:val="Heading2"/>
      </w:pPr>
      <w:bookmarkStart w:id="24" w:name="_Toc462254359"/>
      <w:r>
        <w:t>Groundwave signal strength calculation</w:t>
      </w:r>
      <w:bookmarkEnd w:id="24"/>
    </w:p>
    <w:p w14:paraId="2F740313" w14:textId="77777777" w:rsidR="007F2CBA" w:rsidRPr="00614F57" w:rsidRDefault="007F2CBA" w:rsidP="007F2CBA">
      <w:pPr>
        <w:pStyle w:val="Heading2separationline"/>
      </w:pPr>
    </w:p>
    <w:p w14:paraId="10A6B357" w14:textId="77777777" w:rsidR="007F2CBA" w:rsidRDefault="007F2CBA" w:rsidP="007F2CBA">
      <w:pPr>
        <w:pStyle w:val="BodyText"/>
      </w:pPr>
      <w:r>
        <w:t>To calculate the signal strength for a station for a given location the following information is needed:</w:t>
      </w:r>
    </w:p>
    <w:p w14:paraId="663AD65D" w14:textId="77777777" w:rsidR="007F2CBA" w:rsidRDefault="007F2CBA" w:rsidP="007F2CBA">
      <w:pPr>
        <w:pStyle w:val="BodyText"/>
        <w:numPr>
          <w:ilvl w:val="0"/>
          <w:numId w:val="42"/>
        </w:numPr>
      </w:pPr>
      <w:r>
        <w:t>Distance between the transmitter and the test location</w:t>
      </w:r>
    </w:p>
    <w:p w14:paraId="7A3E8BBE" w14:textId="77777777" w:rsidR="007F2CBA" w:rsidRDefault="007F2CBA" w:rsidP="007F2CBA">
      <w:pPr>
        <w:pStyle w:val="BodyText"/>
        <w:numPr>
          <w:ilvl w:val="0"/>
          <w:numId w:val="42"/>
        </w:numPr>
      </w:pPr>
      <w:r>
        <w:t>Knowledge of the ground conductivity along the path</w:t>
      </w:r>
    </w:p>
    <w:p w14:paraId="4C83EFAF" w14:textId="77777777" w:rsidR="007F2CBA" w:rsidRDefault="007F2CBA" w:rsidP="007F2CBA">
      <w:pPr>
        <w:pStyle w:val="BodyText"/>
        <w:numPr>
          <w:ilvl w:val="0"/>
          <w:numId w:val="42"/>
        </w:numPr>
      </w:pPr>
      <w:r>
        <w:t>Nominal range of the station.</w:t>
      </w:r>
    </w:p>
    <w:p w14:paraId="7C8EE98F" w14:textId="77777777" w:rsidR="007F2CBA" w:rsidRDefault="00BB7774" w:rsidP="007F2CBA">
      <w:pPr>
        <w:pStyle w:val="BodyText"/>
      </w:pPr>
      <w:r>
        <w:t>In this example, the test location is 45</w:t>
      </w:r>
      <w:r w:rsidRPr="00BB7774">
        <w:rPr>
          <w:vertAlign w:val="superscript"/>
        </w:rPr>
        <w:t>o</w:t>
      </w:r>
      <w:r>
        <w:t>N and 2</w:t>
      </w:r>
      <w:r w:rsidRPr="00BB7774">
        <w:rPr>
          <w:vertAlign w:val="superscript"/>
        </w:rPr>
        <w:t>o</w:t>
      </w:r>
      <w:r>
        <w:t xml:space="preserve">E.  </w:t>
      </w:r>
      <w:r w:rsidR="007F2CBA">
        <w:t xml:space="preserve">The distance can be calculated through a number of methods, or measured from online tools such as Google Earth.  In this example, </w:t>
      </w:r>
      <w:r>
        <w:t>the</w:t>
      </w:r>
      <w:r w:rsidR="007F2CBA">
        <w:t xml:space="preserve"> distance </w:t>
      </w:r>
      <w:r>
        <w:t>between the transmitting station and the test location i</w:t>
      </w:r>
      <w:r w:rsidR="007F2CBA">
        <w:t xml:space="preserve">s </w:t>
      </w:r>
      <w:r>
        <w:t xml:space="preserve">137km. It is also </w:t>
      </w:r>
      <w:r w:rsidR="007F2CBA">
        <w:t xml:space="preserve">an all seawater </w:t>
      </w:r>
      <w:r>
        <w:t xml:space="preserve">propagation </w:t>
      </w:r>
      <w:r w:rsidR="007F2CBA">
        <w:t xml:space="preserve">path.  </w:t>
      </w:r>
    </w:p>
    <w:p w14:paraId="11A2FCC0" w14:textId="77777777" w:rsidR="007F2CBA" w:rsidRDefault="007F2CBA" w:rsidP="007F2CBA">
      <w:pPr>
        <w:pStyle w:val="BodyText"/>
      </w:pPr>
      <w:r>
        <w:t xml:space="preserve">Using the ITU propagation curves for </w:t>
      </w:r>
      <w:r w:rsidR="002E5FD8">
        <w:t>300 kHz</w:t>
      </w:r>
      <w:r>
        <w:t xml:space="preserve"> the station field strength can be calculated (</w:t>
      </w:r>
      <w:r w:rsidR="00FA2DDD">
        <w:fldChar w:fldCharType="begin"/>
      </w:r>
      <w:r w:rsidR="00FA2DDD">
        <w:instrText xml:space="preserve"> REF _Ref459644623 \h </w:instrText>
      </w:r>
      <w:r w:rsidR="00FA2DDD">
        <w:fldChar w:fldCharType="separate"/>
      </w:r>
      <w:r w:rsidR="00FA2DDD">
        <w:t xml:space="preserve">Figure </w:t>
      </w:r>
      <w:r w:rsidR="00FA2DDD">
        <w:rPr>
          <w:noProof/>
        </w:rPr>
        <w:t>1</w:t>
      </w:r>
      <w:r w:rsidR="00FA2DDD">
        <w:fldChar w:fldCharType="end"/>
      </w:r>
      <w:r>
        <w:t xml:space="preserve">).  If the signal crossed land, then the type of land </w:t>
      </w:r>
      <w:proofErr w:type="gramStart"/>
      <w:r>
        <w:t>can be identified</w:t>
      </w:r>
      <w:proofErr w:type="gramEnd"/>
      <w:r>
        <w:t xml:space="preserve"> by reference to the ITU </w:t>
      </w:r>
      <w:r w:rsidR="00FA2DDD">
        <w:t>world atlas of ground</w:t>
      </w:r>
      <w:r w:rsidR="00BB7774">
        <w:t xml:space="preserve"> conductivit</w:t>
      </w:r>
      <w:r w:rsidR="00FA2DDD">
        <w:t>ies</w:t>
      </w:r>
      <w:r w:rsidR="00BB7774">
        <w:t xml:space="preserve"> [</w:t>
      </w:r>
      <w:r w:rsidR="00FA2DDD">
        <w:rPr>
          <w:highlight w:val="yellow"/>
        </w:rPr>
        <w:fldChar w:fldCharType="begin"/>
      </w:r>
      <w:r w:rsidR="00FA2DDD">
        <w:instrText xml:space="preserve"> REF _Ref459643872 \r \h </w:instrText>
      </w:r>
      <w:r w:rsidR="00FA2DDD">
        <w:rPr>
          <w:highlight w:val="yellow"/>
        </w:rPr>
      </w:r>
      <w:r w:rsidR="00FA2DDD">
        <w:rPr>
          <w:highlight w:val="yellow"/>
        </w:rPr>
        <w:fldChar w:fldCharType="separate"/>
      </w:r>
      <w:r w:rsidR="00FA2DDD">
        <w:t>2</w:t>
      </w:r>
      <w:r w:rsidR="00FA2DDD">
        <w:rPr>
          <w:highlight w:val="yellow"/>
        </w:rPr>
        <w:fldChar w:fldCharType="end"/>
      </w:r>
      <w:r w:rsidR="00BB7774">
        <w:t>] and different conductivity values can be averaged using Millington’s method, as explained in the ITU document.</w:t>
      </w:r>
    </w:p>
    <w:p w14:paraId="34C71782" w14:textId="77777777" w:rsidR="007F2CBA" w:rsidRDefault="007F2CBA" w:rsidP="007F2CBA">
      <w:pPr>
        <w:pStyle w:val="BodyText"/>
      </w:pPr>
      <w:r>
        <w:lastRenderedPageBreak/>
        <w:t xml:space="preserve">The 300 kHz curves relate to a 1kW transmitter and each curve on the graph relates to the ground conductivity type and shows the attenuation over distance.  The top curve relates to seawater and is the curve of interest at this point.  </w:t>
      </w:r>
    </w:p>
    <w:p w14:paraId="54DDB430" w14:textId="77777777" w:rsidR="007F2CBA" w:rsidRDefault="007F2CBA" w:rsidP="007F2CBA">
      <w:pPr>
        <w:pStyle w:val="Caption"/>
        <w:keepNext/>
        <w:jc w:val="center"/>
      </w:pPr>
      <w:bookmarkStart w:id="25" w:name="_Ref459644693"/>
      <w:bookmarkStart w:id="26" w:name="_Toc462254374"/>
      <w:r>
        <w:t xml:space="preserve">Table </w:t>
      </w:r>
      <w:r>
        <w:fldChar w:fldCharType="begin"/>
      </w:r>
      <w:r>
        <w:instrText xml:space="preserve"> SEQ Table \* ARABIC </w:instrText>
      </w:r>
      <w:r>
        <w:fldChar w:fldCharType="separate"/>
      </w:r>
      <w:r w:rsidR="008F2A22">
        <w:rPr>
          <w:noProof/>
        </w:rPr>
        <w:t>4</w:t>
      </w:r>
      <w:r>
        <w:fldChar w:fldCharType="end"/>
      </w:r>
      <w:bookmarkEnd w:id="25"/>
      <w:r>
        <w:t xml:space="preserve">: Nominal </w:t>
      </w:r>
      <w:proofErr w:type="gramStart"/>
      <w:r>
        <w:t>range</w:t>
      </w:r>
      <w:r w:rsidR="00406055">
        <w:t xml:space="preserve"> field strength </w:t>
      </w:r>
      <w:r>
        <w:t>reference</w:t>
      </w:r>
      <w:proofErr w:type="gramEnd"/>
      <w:r w:rsidR="00406055">
        <w:t xml:space="preserve"> levels for ITU Region 1 [</w:t>
      </w:r>
      <w:r w:rsidR="009A32FC">
        <w:fldChar w:fldCharType="begin"/>
      </w:r>
      <w:r w:rsidR="009A32FC">
        <w:instrText xml:space="preserve"> REF _Ref459643933 \r \h </w:instrText>
      </w:r>
      <w:r w:rsidR="009A32FC">
        <w:fldChar w:fldCharType="separate"/>
      </w:r>
      <w:r w:rsidR="009A32FC">
        <w:t>8</w:t>
      </w:r>
      <w:r w:rsidR="009A32FC">
        <w:fldChar w:fldCharType="end"/>
      </w:r>
      <w:r w:rsidR="00406055">
        <w:t>]</w:t>
      </w:r>
      <w:bookmarkEnd w:id="26"/>
    </w:p>
    <w:tbl>
      <w:tblPr>
        <w:tblW w:w="0" w:type="auto"/>
        <w:jc w:val="center"/>
        <w:tblLayout w:type="fixed"/>
        <w:tblLook w:val="0000" w:firstRow="0" w:lastRow="0" w:firstColumn="0" w:lastColumn="0" w:noHBand="0" w:noVBand="0"/>
      </w:tblPr>
      <w:tblGrid>
        <w:gridCol w:w="2689"/>
        <w:gridCol w:w="1842"/>
        <w:gridCol w:w="2091"/>
      </w:tblGrid>
      <w:tr w:rsidR="00406055" w14:paraId="466AD099" w14:textId="77777777" w:rsidTr="00406055">
        <w:trPr>
          <w:cantSplit/>
          <w:trHeight w:val="315"/>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85666BC" w14:textId="77777777" w:rsidR="00406055" w:rsidRDefault="00406055" w:rsidP="00406055">
            <w:pPr>
              <w:pStyle w:val="Tableheading"/>
              <w:spacing w:before="0" w:after="0" w:line="240" w:lineRule="auto"/>
            </w:pPr>
            <w:r>
              <w:t>Latitude</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05B01736" w14:textId="77777777" w:rsidR="00406055" w:rsidRDefault="00406055" w:rsidP="00406055">
            <w:pPr>
              <w:pStyle w:val="Tableheading"/>
              <w:spacing w:before="0" w:after="0" w:line="240" w:lineRule="auto"/>
              <w:jc w:val="center"/>
              <w:rPr>
                <w:rFonts w:ascii="Symbol" w:hAnsi="Symbol"/>
              </w:rPr>
            </w:pPr>
            <w:r w:rsidRPr="00406055">
              <w:t>Reference</w:t>
            </w:r>
            <w:r>
              <w:rPr>
                <w:rFonts w:ascii="Symbol" w:hAnsi="Symbol"/>
              </w:rPr>
              <w:t></w:t>
            </w:r>
          </w:p>
          <w:p w14:paraId="4F772F15" w14:textId="77777777" w:rsidR="00406055" w:rsidRDefault="00406055" w:rsidP="00406055">
            <w:pPr>
              <w:pStyle w:val="Tableheading"/>
              <w:spacing w:before="0" w:after="0" w:line="240" w:lineRule="auto"/>
              <w:jc w:val="center"/>
            </w:pPr>
            <w:r>
              <w:rPr>
                <w:rFonts w:ascii="Symbol" w:hAnsi="Symbol"/>
              </w:rPr>
              <w:t></w:t>
            </w:r>
            <w:r>
              <w:rPr>
                <w:rFonts w:ascii="Symbol" w:hAnsi="Symbol"/>
              </w:rPr>
              <w:t></w:t>
            </w:r>
            <w:r>
              <w:t>V/m)</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14:paraId="2A5628E0" w14:textId="77777777" w:rsidR="00406055" w:rsidRDefault="00406055" w:rsidP="00406055">
            <w:pPr>
              <w:pStyle w:val="Tableheading"/>
              <w:spacing w:before="0" w:after="0" w:line="240" w:lineRule="auto"/>
              <w:jc w:val="center"/>
            </w:pPr>
            <w:r w:rsidRPr="00406055">
              <w:t>Reference</w:t>
            </w:r>
            <w:r>
              <w:t xml:space="preserve"> (</w:t>
            </w:r>
            <w:proofErr w:type="spellStart"/>
            <w:r>
              <w:t>dB</w:t>
            </w:r>
            <w:r>
              <w:rPr>
                <w:rFonts w:ascii="Symbol" w:hAnsi="Symbol"/>
              </w:rPr>
              <w:t></w:t>
            </w:r>
            <w:r>
              <w:t>V</w:t>
            </w:r>
            <w:proofErr w:type="spellEnd"/>
            <w:r>
              <w:t>/m)</w:t>
            </w:r>
          </w:p>
        </w:tc>
      </w:tr>
      <w:tr w:rsidR="00406055" w14:paraId="599B531F" w14:textId="77777777" w:rsidTr="00406055">
        <w:trPr>
          <w:cantSplit/>
          <w:jc w:val="center"/>
        </w:trPr>
        <w:tc>
          <w:tcPr>
            <w:tcW w:w="2689" w:type="dxa"/>
            <w:tcBorders>
              <w:top w:val="single" w:sz="4" w:space="0" w:color="auto"/>
              <w:left w:val="single" w:sz="4" w:space="0" w:color="auto"/>
              <w:bottom w:val="single" w:sz="4" w:space="0" w:color="auto"/>
              <w:right w:val="single" w:sz="4" w:space="0" w:color="auto"/>
            </w:tcBorders>
            <w:vAlign w:val="center"/>
          </w:tcPr>
          <w:p w14:paraId="0AD15268" w14:textId="77777777" w:rsidR="00406055" w:rsidRDefault="00406055" w:rsidP="00406055">
            <w:pPr>
              <w:pStyle w:val="Tabletext"/>
              <w:spacing w:before="0" w:after="0" w:line="240" w:lineRule="auto"/>
            </w:pPr>
            <w:r>
              <w:t>North of 43</w:t>
            </w:r>
            <w:r>
              <w:rPr>
                <w:vertAlign w:val="superscript"/>
              </w:rPr>
              <w:t>o</w:t>
            </w:r>
            <w:r>
              <w:t>N</w:t>
            </w:r>
          </w:p>
        </w:tc>
        <w:tc>
          <w:tcPr>
            <w:tcW w:w="1842" w:type="dxa"/>
            <w:tcBorders>
              <w:top w:val="single" w:sz="4" w:space="0" w:color="auto"/>
              <w:left w:val="single" w:sz="4" w:space="0" w:color="auto"/>
              <w:bottom w:val="single" w:sz="4" w:space="0" w:color="auto"/>
              <w:right w:val="single" w:sz="4" w:space="0" w:color="auto"/>
            </w:tcBorders>
            <w:vAlign w:val="center"/>
          </w:tcPr>
          <w:p w14:paraId="1B530493" w14:textId="77777777" w:rsidR="00406055" w:rsidRDefault="00406055" w:rsidP="00406055">
            <w:pPr>
              <w:pStyle w:val="Tabletext"/>
              <w:spacing w:before="0" w:after="0" w:line="240" w:lineRule="auto"/>
              <w:jc w:val="center"/>
            </w:pPr>
            <w:r>
              <w:t>50</w:t>
            </w:r>
          </w:p>
        </w:tc>
        <w:tc>
          <w:tcPr>
            <w:tcW w:w="2091" w:type="dxa"/>
            <w:tcBorders>
              <w:top w:val="single" w:sz="4" w:space="0" w:color="auto"/>
              <w:left w:val="single" w:sz="4" w:space="0" w:color="auto"/>
              <w:bottom w:val="single" w:sz="4" w:space="0" w:color="auto"/>
              <w:right w:val="single" w:sz="4" w:space="0" w:color="auto"/>
            </w:tcBorders>
            <w:vAlign w:val="center"/>
          </w:tcPr>
          <w:p w14:paraId="5AE335FF" w14:textId="77777777" w:rsidR="00406055" w:rsidRDefault="00406055" w:rsidP="00406055">
            <w:pPr>
              <w:pStyle w:val="Tabletext"/>
              <w:spacing w:before="0" w:after="0" w:line="240" w:lineRule="auto"/>
              <w:jc w:val="center"/>
            </w:pPr>
            <w:r>
              <w:t>34</w:t>
            </w:r>
          </w:p>
        </w:tc>
      </w:tr>
      <w:tr w:rsidR="00406055" w14:paraId="33FC6B6C" w14:textId="77777777" w:rsidTr="00406055">
        <w:trPr>
          <w:cantSplit/>
          <w:jc w:val="center"/>
        </w:trPr>
        <w:tc>
          <w:tcPr>
            <w:tcW w:w="2689" w:type="dxa"/>
            <w:tcBorders>
              <w:top w:val="single" w:sz="4" w:space="0" w:color="auto"/>
              <w:left w:val="single" w:sz="4" w:space="0" w:color="auto"/>
              <w:bottom w:val="single" w:sz="4" w:space="0" w:color="auto"/>
              <w:right w:val="single" w:sz="4" w:space="0" w:color="auto"/>
            </w:tcBorders>
            <w:vAlign w:val="center"/>
          </w:tcPr>
          <w:p w14:paraId="36D0C426" w14:textId="77777777" w:rsidR="00406055" w:rsidRDefault="00406055" w:rsidP="00406055">
            <w:pPr>
              <w:pStyle w:val="Tabletext"/>
              <w:spacing w:before="0" w:after="0" w:line="240" w:lineRule="auto"/>
            </w:pPr>
            <w:r>
              <w:t>Between 43</w:t>
            </w:r>
            <w:r>
              <w:rPr>
                <w:vertAlign w:val="superscript"/>
              </w:rPr>
              <w:t>o</w:t>
            </w:r>
            <w:r>
              <w:t>N to 30</w:t>
            </w:r>
            <w:r w:rsidRPr="00406055">
              <w:rPr>
                <w:vertAlign w:val="superscript"/>
              </w:rPr>
              <w:t>0</w:t>
            </w:r>
            <w:r>
              <w:t>N</w:t>
            </w:r>
          </w:p>
        </w:tc>
        <w:tc>
          <w:tcPr>
            <w:tcW w:w="1842" w:type="dxa"/>
            <w:tcBorders>
              <w:top w:val="single" w:sz="4" w:space="0" w:color="auto"/>
              <w:left w:val="single" w:sz="4" w:space="0" w:color="auto"/>
              <w:bottom w:val="single" w:sz="4" w:space="0" w:color="auto"/>
              <w:right w:val="single" w:sz="4" w:space="0" w:color="auto"/>
            </w:tcBorders>
            <w:vAlign w:val="center"/>
          </w:tcPr>
          <w:p w14:paraId="0201B143" w14:textId="77777777" w:rsidR="00406055" w:rsidRDefault="00406055" w:rsidP="00406055">
            <w:pPr>
              <w:pStyle w:val="Tabletext"/>
              <w:spacing w:before="0" w:after="0" w:line="240" w:lineRule="auto"/>
              <w:jc w:val="center"/>
            </w:pPr>
            <w:r>
              <w:t>75</w:t>
            </w:r>
          </w:p>
        </w:tc>
        <w:tc>
          <w:tcPr>
            <w:tcW w:w="2091" w:type="dxa"/>
            <w:tcBorders>
              <w:top w:val="single" w:sz="4" w:space="0" w:color="auto"/>
              <w:left w:val="single" w:sz="4" w:space="0" w:color="auto"/>
              <w:bottom w:val="single" w:sz="4" w:space="0" w:color="auto"/>
              <w:right w:val="single" w:sz="4" w:space="0" w:color="auto"/>
            </w:tcBorders>
            <w:vAlign w:val="center"/>
          </w:tcPr>
          <w:p w14:paraId="15FA0772" w14:textId="77777777" w:rsidR="00406055" w:rsidRDefault="00406055" w:rsidP="00406055">
            <w:pPr>
              <w:pStyle w:val="Tabletext"/>
              <w:spacing w:before="0" w:after="0" w:line="240" w:lineRule="auto"/>
              <w:jc w:val="center"/>
            </w:pPr>
            <w:r>
              <w:t>37.5</w:t>
            </w:r>
          </w:p>
        </w:tc>
      </w:tr>
    </w:tbl>
    <w:p w14:paraId="75B1D1E4" w14:textId="77777777" w:rsidR="007F2CBA" w:rsidRDefault="007F2CBA" w:rsidP="007F2CBA">
      <w:pPr>
        <w:pStyle w:val="BodyText"/>
      </w:pPr>
    </w:p>
    <w:p w14:paraId="41CE18DB" w14:textId="77777777" w:rsidR="007F2CBA" w:rsidRDefault="007F2CBA" w:rsidP="007F2CBA">
      <w:pPr>
        <w:pStyle w:val="BodyText"/>
      </w:pPr>
      <w:r>
        <w:t xml:space="preserve">The nominal range is the distance at which the signal strength falls to a reference level, with different reference levels used depending on latitude of the transmission, as shown in </w:t>
      </w:r>
      <w:r w:rsidR="00FA2DDD">
        <w:fldChar w:fldCharType="begin"/>
      </w:r>
      <w:r w:rsidR="00FA2DDD">
        <w:instrText xml:space="preserve"> REF _Ref459644693 \h </w:instrText>
      </w:r>
      <w:r w:rsidR="00FA2DDD">
        <w:fldChar w:fldCharType="separate"/>
      </w:r>
      <w:r w:rsidR="00FA2DDD">
        <w:t xml:space="preserve">Table </w:t>
      </w:r>
      <w:r w:rsidR="00FA2DDD">
        <w:rPr>
          <w:noProof/>
        </w:rPr>
        <w:t>4</w:t>
      </w:r>
      <w:r w:rsidR="00FA2DDD">
        <w:fldChar w:fldCharType="end"/>
      </w:r>
      <w:r>
        <w:t xml:space="preserve">. </w:t>
      </w:r>
    </w:p>
    <w:p w14:paraId="1A9C5B4F" w14:textId="77777777" w:rsidR="007F2CBA" w:rsidRDefault="007F2CBA" w:rsidP="007F2CBA">
      <w:pPr>
        <w:pStyle w:val="BodyText"/>
      </w:pPr>
      <w:r>
        <w:t xml:space="preserve">In order to calculate the signal strength for </w:t>
      </w:r>
      <w:r w:rsidR="00BB7774">
        <w:t xml:space="preserve">Flamborough head DGPS station at the test location, </w:t>
      </w:r>
      <w:r>
        <w:t>the first st</w:t>
      </w:r>
      <w:r w:rsidR="00BB7774">
        <w:t>ep</w:t>
      </w:r>
      <w:r>
        <w:t xml:space="preserve"> is to calculate the power of the station with respect to the 1kW transmission</w:t>
      </w:r>
      <w:r w:rsidR="00BB7774">
        <w:t xml:space="preserve"> used in the ITU curves.</w:t>
      </w:r>
      <w:r>
        <w:t xml:space="preserve">   The nominal range of </w:t>
      </w:r>
      <w:r w:rsidR="00BB7774">
        <w:t xml:space="preserve">Flamborough Head </w:t>
      </w:r>
      <w:r>
        <w:t xml:space="preserve">is </w:t>
      </w:r>
      <w:r w:rsidR="00BB7774">
        <w:t xml:space="preserve">277km.  </w:t>
      </w:r>
      <w:r w:rsidR="002E5FD8">
        <w:t>The signal strength falls to 50µV/m (34 dBµV/m) over an all seawater path this distance</w:t>
      </w:r>
      <w:r>
        <w:t xml:space="preserve">.   This can be marked on the curve (shown by the orange line in </w:t>
      </w:r>
      <w:r w:rsidR="00FA2DDD">
        <w:fldChar w:fldCharType="begin"/>
      </w:r>
      <w:r w:rsidR="00FA2DDD">
        <w:instrText xml:space="preserve"> REF _Ref459644623 \h </w:instrText>
      </w:r>
      <w:r w:rsidR="00FA2DDD">
        <w:fldChar w:fldCharType="separate"/>
      </w:r>
      <w:r w:rsidR="00FA2DDD">
        <w:t xml:space="preserve">Figure </w:t>
      </w:r>
      <w:r w:rsidR="00FA2DDD">
        <w:rPr>
          <w:noProof/>
        </w:rPr>
        <w:t>1</w:t>
      </w:r>
      <w:r w:rsidR="00FA2DDD">
        <w:fldChar w:fldCharType="end"/>
      </w:r>
      <w:r>
        <w:t xml:space="preserve">) and the difference between </w:t>
      </w:r>
      <w:r w:rsidR="00BB7774">
        <w:t>Flamborough Head DGPS</w:t>
      </w:r>
      <w:r>
        <w:t xml:space="preserve"> signal strength and the 1kW transmission at this distance can be calculated (1kW signal strength shown in red i</w:t>
      </w:r>
      <w:r w:rsidR="00BB7774">
        <w:t xml:space="preserve">n </w:t>
      </w:r>
      <w:r w:rsidR="00FA2DDD">
        <w:fldChar w:fldCharType="begin"/>
      </w:r>
      <w:r w:rsidR="00FA2DDD">
        <w:instrText xml:space="preserve"> REF _Ref459644623 \h </w:instrText>
      </w:r>
      <w:r w:rsidR="00FA2DDD">
        <w:fldChar w:fldCharType="separate"/>
      </w:r>
      <w:r w:rsidR="00FA2DDD">
        <w:t xml:space="preserve">Figure </w:t>
      </w:r>
      <w:r w:rsidR="00FA2DDD">
        <w:rPr>
          <w:noProof/>
        </w:rPr>
        <w:t>1</w:t>
      </w:r>
      <w:r w:rsidR="00FA2DDD">
        <w:fldChar w:fldCharType="end"/>
      </w:r>
      <w:r w:rsidR="00BB7774">
        <w:t>).  In this case, at 277</w:t>
      </w:r>
      <w:r>
        <w:t xml:space="preserve">km, the 1kW transmission would </w:t>
      </w:r>
      <w:r w:rsidR="00BB7774">
        <w:t>provide a signal strength of 57</w:t>
      </w:r>
      <w:r>
        <w:t xml:space="preserve"> dBµV/m over an all seawater path.  The strength of </w:t>
      </w:r>
      <w:r w:rsidR="00BB7774">
        <w:t>Flamborough Head DGPS</w:t>
      </w:r>
      <w:r>
        <w:t xml:space="preserve"> at this distance is its nominal range reference</w:t>
      </w:r>
      <w:r w:rsidR="00BB7774">
        <w:t xml:space="preserve"> level of 34 dBµV/m </w:t>
      </w:r>
      <w:r w:rsidR="002E5FD8">
        <w:t>therefore;</w:t>
      </w:r>
      <w:r w:rsidR="00BB7774">
        <w:t xml:space="preserve"> Flamborough head is broadcasting 23d</w:t>
      </w:r>
      <w:r>
        <w:t>B below</w:t>
      </w:r>
      <w:r w:rsidR="00BB7774">
        <w:t xml:space="preserve"> that of the 1kW transmission (57</w:t>
      </w:r>
      <w:r>
        <w:t>dB-34dB).</w:t>
      </w:r>
    </w:p>
    <w:p w14:paraId="7B679FB1" w14:textId="7B941E4F" w:rsidR="007F2CBA" w:rsidRDefault="007F2CBA" w:rsidP="007F2CBA">
      <w:pPr>
        <w:pStyle w:val="BodyText"/>
      </w:pPr>
      <w:r>
        <w:t xml:space="preserve">At a distance of </w:t>
      </w:r>
      <w:r w:rsidR="00D77EE8">
        <w:t>137</w:t>
      </w:r>
      <w:r>
        <w:t xml:space="preserve">km, the 1kW transmitter would have a signal strength of </w:t>
      </w:r>
      <w:r w:rsidR="00D77EE8">
        <w:t>66</w:t>
      </w:r>
      <w:r>
        <w:t xml:space="preserve"> dBµV/m.  </w:t>
      </w:r>
      <w:r w:rsidR="00D77EE8">
        <w:t xml:space="preserve">As Flamborough Head DGPS is operating </w:t>
      </w:r>
      <w:r w:rsidR="00E9296D">
        <w:t>23</w:t>
      </w:r>
      <w:r>
        <w:t xml:space="preserve">dB below this level, its signal strength should be </w:t>
      </w:r>
      <w:r w:rsidR="00D77EE8">
        <w:t>43</w:t>
      </w:r>
      <w:r>
        <w:t xml:space="preserve"> dBµV/m at this range, </w:t>
      </w:r>
      <w:r w:rsidR="00D77EE8">
        <w:t>given</w:t>
      </w:r>
      <w:r>
        <w:t xml:space="preserve"> an all seawater path.   The tolerance in this approach is ±2dB due to reading data off the graph.  </w:t>
      </w:r>
    </w:p>
    <w:p w14:paraId="516639C4" w14:textId="77777777" w:rsidR="007F2CBA" w:rsidRDefault="00BB7774" w:rsidP="007F2CBA">
      <w:pPr>
        <w:pStyle w:val="BodyText"/>
        <w:keepNext/>
      </w:pPr>
      <w:r>
        <w:rPr>
          <w:noProof/>
          <w:lang w:val="en-IE" w:eastAsia="en-IE"/>
        </w:rPr>
        <w:lastRenderedPageBreak/>
        <w:drawing>
          <wp:inline distT="0" distB="0" distL="0" distR="0" wp14:anchorId="46D315C9" wp14:editId="2AF7ADB7">
            <wp:extent cx="6480175" cy="432244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oundwave signal strength.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480175" cy="4322445"/>
                    </a:xfrm>
                    <a:prstGeom prst="rect">
                      <a:avLst/>
                    </a:prstGeom>
                  </pic:spPr>
                </pic:pic>
              </a:graphicData>
            </a:graphic>
          </wp:inline>
        </w:drawing>
      </w:r>
    </w:p>
    <w:p w14:paraId="59C306C4" w14:textId="6DB6A810" w:rsidR="007F2CBA" w:rsidRDefault="007F2CBA" w:rsidP="007F2CBA">
      <w:pPr>
        <w:pStyle w:val="Caption"/>
      </w:pPr>
      <w:bookmarkStart w:id="27" w:name="_Ref459644623"/>
      <w:bookmarkStart w:id="28" w:name="_Toc462254376"/>
      <w:r>
        <w:t xml:space="preserve">Figure </w:t>
      </w:r>
      <w:r>
        <w:fldChar w:fldCharType="begin"/>
      </w:r>
      <w:r>
        <w:instrText xml:space="preserve"> SEQ Figure \* ARABIC </w:instrText>
      </w:r>
      <w:r>
        <w:fldChar w:fldCharType="separate"/>
      </w:r>
      <w:r w:rsidR="008F2A22">
        <w:rPr>
          <w:noProof/>
        </w:rPr>
        <w:t>1</w:t>
      </w:r>
      <w:r>
        <w:fldChar w:fldCharType="end"/>
      </w:r>
      <w:bookmarkEnd w:id="27"/>
      <w:r>
        <w:t>: ITU-R ground-wave propagation curves at 300 kHz with results of calculating the groundwave signal strength shown</w:t>
      </w:r>
      <w:r w:rsidR="00940DA5">
        <w:t xml:space="preserve"> (adapted from [</w:t>
      </w:r>
      <w:r w:rsidR="00940DA5">
        <w:fldChar w:fldCharType="begin"/>
      </w:r>
      <w:r w:rsidR="00940DA5">
        <w:instrText xml:space="preserve"> REF _Ref459643881 \r \h </w:instrText>
      </w:r>
      <w:r w:rsidR="00940DA5">
        <w:fldChar w:fldCharType="separate"/>
      </w:r>
      <w:r w:rsidR="00940DA5">
        <w:t>3</w:t>
      </w:r>
      <w:r w:rsidR="00940DA5">
        <w:fldChar w:fldCharType="end"/>
      </w:r>
      <w:r w:rsidR="00E9296D">
        <w:t>])</w:t>
      </w:r>
      <w:r>
        <w:t>.</w:t>
      </w:r>
      <w:bookmarkEnd w:id="28"/>
    </w:p>
    <w:p w14:paraId="29E782FE" w14:textId="77777777" w:rsidR="00C22EDC" w:rsidRDefault="00C22EDC" w:rsidP="00614F57">
      <w:pPr>
        <w:pStyle w:val="BodyText"/>
      </w:pPr>
    </w:p>
    <w:p w14:paraId="3199126E" w14:textId="77777777" w:rsidR="00FF44A9" w:rsidRPr="00FF44A9" w:rsidRDefault="00FF44A9" w:rsidP="00FF44A9"/>
    <w:p w14:paraId="5864DCBA" w14:textId="77777777" w:rsidR="00614F57" w:rsidRDefault="00965860" w:rsidP="00614F57">
      <w:pPr>
        <w:pStyle w:val="Heading2"/>
      </w:pPr>
      <w:bookmarkStart w:id="29" w:name="_Toc462254360"/>
      <w:r>
        <w:t>Skywave signal strength calculation</w:t>
      </w:r>
      <w:bookmarkEnd w:id="29"/>
    </w:p>
    <w:p w14:paraId="3074B273" w14:textId="77777777" w:rsidR="00510B0A" w:rsidRDefault="00510B0A" w:rsidP="00510B0A">
      <w:pPr>
        <w:pStyle w:val="Heading2separationline"/>
      </w:pPr>
    </w:p>
    <w:p w14:paraId="07EEA851" w14:textId="77777777" w:rsidR="00AB3C02" w:rsidRPr="00AB3C02" w:rsidRDefault="00FC41B4" w:rsidP="009A5C69">
      <w:pPr>
        <w:pStyle w:val="BodyText"/>
      </w:pPr>
      <w:r>
        <w:t xml:space="preserve">As outlined above, calculating skywave signals is considerable more difficult.  </w:t>
      </w:r>
      <w:r w:rsidR="0045328E">
        <w:t xml:space="preserve">From reference </w:t>
      </w:r>
      <w:r w:rsidR="009A32FC">
        <w:fldChar w:fldCharType="begin"/>
      </w:r>
      <w:r w:rsidR="009A32FC">
        <w:instrText xml:space="preserve"> REF _Ref459643888 \r \h </w:instrText>
      </w:r>
      <w:r w:rsidR="009A32FC">
        <w:fldChar w:fldCharType="separate"/>
      </w:r>
      <w:r w:rsidR="009A32FC">
        <w:t>4</w:t>
      </w:r>
      <w:r w:rsidR="009A32FC">
        <w:fldChar w:fldCharType="end"/>
      </w:r>
      <w:r w:rsidR="0045328E">
        <w:t>,</w:t>
      </w:r>
      <w:r w:rsidR="00406055">
        <w:t xml:space="preserve"> supported by references</w:t>
      </w:r>
      <w:r w:rsidR="0045328E">
        <w:t xml:space="preserve"> </w:t>
      </w:r>
      <w:r w:rsidR="009A32FC">
        <w:fldChar w:fldCharType="begin"/>
      </w:r>
      <w:r w:rsidR="009A32FC">
        <w:instrText xml:space="preserve"> REF _Ref459643916 \r \h </w:instrText>
      </w:r>
      <w:r w:rsidR="009A32FC">
        <w:fldChar w:fldCharType="separate"/>
      </w:r>
      <w:r w:rsidR="009A32FC">
        <w:t>5</w:t>
      </w:r>
      <w:r w:rsidR="009A32FC">
        <w:fldChar w:fldCharType="end"/>
      </w:r>
      <w:r w:rsidR="00406055">
        <w:t xml:space="preserve"> and </w:t>
      </w:r>
      <w:r w:rsidR="009A32FC">
        <w:fldChar w:fldCharType="begin"/>
      </w:r>
      <w:r w:rsidR="009A32FC">
        <w:instrText xml:space="preserve"> REF _Ref459644001 \r \h </w:instrText>
      </w:r>
      <w:r w:rsidR="009A32FC">
        <w:fldChar w:fldCharType="separate"/>
      </w:r>
      <w:r w:rsidR="009A32FC">
        <w:t>7</w:t>
      </w:r>
      <w:r w:rsidR="009A32FC">
        <w:fldChar w:fldCharType="end"/>
      </w:r>
      <w:r w:rsidR="0045328E">
        <w:t>, the following expression is considered</w:t>
      </w:r>
      <w:r w:rsidR="00E73B5B">
        <w:t>:</w:t>
      </w:r>
    </w:p>
    <w:p w14:paraId="69BBEA4A" w14:textId="77777777" w:rsidR="00AB3C02" w:rsidRPr="00AB3C02" w:rsidRDefault="00AB3C02" w:rsidP="00AB3C02">
      <w:pPr>
        <w:spacing w:line="360" w:lineRule="auto"/>
        <w:jc w:val="both"/>
        <w:rPr>
          <w:sz w:val="22"/>
        </w:rPr>
      </w:pPr>
    </w:p>
    <w:p w14:paraId="691801EE" w14:textId="77777777" w:rsidR="00B4599A" w:rsidRDefault="00AB3C02" w:rsidP="00B4599A">
      <w:pPr>
        <w:keepNext/>
        <w:spacing w:line="360" w:lineRule="auto"/>
        <w:jc w:val="center"/>
      </w:pPr>
      <w:r w:rsidRPr="00AB3C02">
        <w:rPr>
          <w:sz w:val="22"/>
        </w:rPr>
        <w:object w:dxaOrig="5380" w:dyaOrig="440" w14:anchorId="7AD01C52">
          <v:shape id="_x0000_i1029" type="#_x0000_t75" style="width:269.25pt;height:22.15pt" o:ole="">
            <v:imagedata r:id="rId35" o:title=""/>
          </v:shape>
          <o:OLEObject Type="Embed" ProgID="Equation.DSMT4" ShapeID="_x0000_i1029" DrawAspect="Content" ObjectID="_1536239094" r:id="rId36"/>
        </w:object>
      </w:r>
    </w:p>
    <w:p w14:paraId="590EFAA0" w14:textId="77777777" w:rsidR="00B4599A" w:rsidRDefault="00B4599A" w:rsidP="00B4599A">
      <w:pPr>
        <w:pStyle w:val="Caption"/>
        <w:jc w:val="center"/>
      </w:pPr>
      <w:bookmarkStart w:id="30" w:name="_Toc462254380"/>
      <w:r>
        <w:t xml:space="preserve">Equation </w:t>
      </w:r>
      <w:r>
        <w:fldChar w:fldCharType="begin"/>
      </w:r>
      <w:r>
        <w:instrText xml:space="preserve"> SEQ Equation \* ARABIC </w:instrText>
      </w:r>
      <w:r>
        <w:fldChar w:fldCharType="separate"/>
      </w:r>
      <w:r>
        <w:rPr>
          <w:noProof/>
        </w:rPr>
        <w:t>2</w:t>
      </w:r>
      <w:r>
        <w:fldChar w:fldCharType="end"/>
      </w:r>
      <w:r>
        <w:t>: Skywave signal strength calculation [</w:t>
      </w:r>
      <w:r>
        <w:fldChar w:fldCharType="begin"/>
      </w:r>
      <w:r>
        <w:instrText xml:space="preserve"> REF _Ref459643916 \r \h </w:instrText>
      </w:r>
      <w:r>
        <w:fldChar w:fldCharType="separate"/>
      </w:r>
      <w:r>
        <w:t>5</w:t>
      </w:r>
      <w:r>
        <w:fldChar w:fldCharType="end"/>
      </w:r>
      <w:r>
        <w:t>]</w:t>
      </w:r>
      <w:bookmarkEnd w:id="30"/>
    </w:p>
    <w:p w14:paraId="2EB1ACEF" w14:textId="77777777" w:rsidR="00AB3C02" w:rsidRPr="00AB3C02" w:rsidRDefault="00863866" w:rsidP="00AB3C02">
      <w:pPr>
        <w:spacing w:line="360" w:lineRule="auto"/>
        <w:jc w:val="right"/>
        <w:rPr>
          <w:sz w:val="22"/>
        </w:rPr>
      </w:pPr>
      <w:r>
        <w:rPr>
          <w:sz w:val="22"/>
        </w:rPr>
        <w:tab/>
      </w:r>
      <w:r w:rsidR="00AB3C02" w:rsidRPr="00AB3C02">
        <w:rPr>
          <w:sz w:val="22"/>
        </w:rPr>
        <w:tab/>
        <w:t xml:space="preserve">   </w:t>
      </w:r>
      <w:r w:rsidR="00AB3C02" w:rsidRPr="00AB3C02">
        <w:rPr>
          <w:sz w:val="22"/>
        </w:rPr>
        <w:tab/>
        <w:t xml:space="preserve">      </w:t>
      </w:r>
      <w:r w:rsidR="00AB3C02" w:rsidRPr="00AB3C02">
        <w:rPr>
          <w:sz w:val="22"/>
        </w:rPr>
        <w:fldChar w:fldCharType="begin"/>
      </w:r>
      <w:r w:rsidR="00AB3C02" w:rsidRPr="00AB3C02">
        <w:rPr>
          <w:sz w:val="22"/>
        </w:rPr>
        <w:instrText xml:space="preserve"> MACROBUTTON MTEditEquationSection </w:instrText>
      </w:r>
      <w:r w:rsidR="00AB3C02" w:rsidRPr="00AB3C02">
        <w:rPr>
          <w:vanish/>
          <w:sz w:val="22"/>
        </w:rPr>
        <w:instrText>Equation Section (Next)</w:instrText>
      </w:r>
      <w:r w:rsidR="00AB3C02" w:rsidRPr="00AB3C02">
        <w:rPr>
          <w:sz w:val="22"/>
        </w:rPr>
        <w:fldChar w:fldCharType="begin"/>
      </w:r>
      <w:r w:rsidR="00AB3C02" w:rsidRPr="00AB3C02">
        <w:rPr>
          <w:sz w:val="22"/>
        </w:rPr>
        <w:instrText xml:space="preserve"> SEQ MTEqn \r \h \* MERGEFORMAT </w:instrText>
      </w:r>
      <w:r w:rsidR="00AB3C02" w:rsidRPr="00AB3C02">
        <w:rPr>
          <w:sz w:val="22"/>
        </w:rPr>
        <w:fldChar w:fldCharType="end"/>
      </w:r>
      <w:r w:rsidR="00AB3C02" w:rsidRPr="00AB3C02">
        <w:rPr>
          <w:sz w:val="22"/>
        </w:rPr>
        <w:fldChar w:fldCharType="begin"/>
      </w:r>
      <w:r w:rsidR="00AB3C02" w:rsidRPr="00AB3C02">
        <w:rPr>
          <w:sz w:val="22"/>
        </w:rPr>
        <w:instrText xml:space="preserve"> SEQ MTSec \h \* MERGEFORMAT </w:instrText>
      </w:r>
      <w:r w:rsidR="00AB3C02" w:rsidRPr="00AB3C02">
        <w:rPr>
          <w:sz w:val="22"/>
        </w:rPr>
        <w:fldChar w:fldCharType="end"/>
      </w:r>
      <w:r w:rsidR="00AB3C02" w:rsidRPr="00AB3C02">
        <w:rPr>
          <w:sz w:val="22"/>
        </w:rPr>
        <w:fldChar w:fldCharType="end"/>
      </w:r>
    </w:p>
    <w:p w14:paraId="71441A5F" w14:textId="77777777" w:rsidR="00AB3C02" w:rsidRPr="00AB3C02" w:rsidRDefault="00AB3C02" w:rsidP="00AB3C02">
      <w:pPr>
        <w:spacing w:line="360" w:lineRule="auto"/>
        <w:jc w:val="both"/>
        <w:rPr>
          <w:sz w:val="22"/>
        </w:rPr>
      </w:pPr>
    </w:p>
    <w:p w14:paraId="5CB4AEA3" w14:textId="77777777" w:rsidR="00E73B5B" w:rsidRDefault="00863866" w:rsidP="0045328E">
      <w:pPr>
        <w:spacing w:line="240" w:lineRule="auto"/>
        <w:jc w:val="both"/>
        <w:rPr>
          <w:sz w:val="22"/>
        </w:rPr>
      </w:pPr>
      <w:r>
        <w:rPr>
          <w:sz w:val="22"/>
        </w:rPr>
        <w:t>W</w:t>
      </w:r>
      <w:r w:rsidR="00AB3C02" w:rsidRPr="00AB3C02">
        <w:rPr>
          <w:sz w:val="22"/>
        </w:rPr>
        <w:t>here</w:t>
      </w:r>
      <w:r w:rsidR="00E73B5B">
        <w:rPr>
          <w:sz w:val="22"/>
        </w:rPr>
        <w:t>:</w:t>
      </w:r>
    </w:p>
    <w:p w14:paraId="1A9C946F" w14:textId="77777777" w:rsidR="00AB3C02" w:rsidRPr="00AB3C02" w:rsidRDefault="00AB3C02" w:rsidP="0045328E">
      <w:pPr>
        <w:spacing w:line="240" w:lineRule="auto"/>
        <w:jc w:val="both"/>
        <w:rPr>
          <w:sz w:val="22"/>
        </w:rPr>
      </w:pPr>
      <w:r w:rsidRPr="00AB3C02">
        <w:rPr>
          <w:sz w:val="22"/>
        </w:rPr>
        <w:t xml:space="preserve"> </w:t>
      </w:r>
      <w:r w:rsidRPr="0045328E">
        <w:rPr>
          <w:sz w:val="22"/>
        </w:rPr>
        <w:t>A</w:t>
      </w:r>
      <w:r w:rsidR="00D51509">
        <w:rPr>
          <w:sz w:val="22"/>
        </w:rPr>
        <w:t xml:space="preserve"> = 10</w:t>
      </w:r>
      <w:r w:rsidR="00E73B5B">
        <w:rPr>
          <w:sz w:val="22"/>
        </w:rPr>
        <w:t>6.6</w:t>
      </w:r>
      <w:r w:rsidRPr="00AB3C02">
        <w:rPr>
          <w:sz w:val="22"/>
        </w:rPr>
        <w:t xml:space="preserve"> – sin (</w:t>
      </w:r>
      <w:r>
        <w:rPr>
          <w:sz w:val="22"/>
        </w:rPr>
        <w:sym w:font="Symbol" w:char="F046"/>
      </w:r>
      <w:r w:rsidRPr="00AB3C02">
        <w:rPr>
          <w:sz w:val="22"/>
        </w:rPr>
        <w:t xml:space="preserve">), </w:t>
      </w:r>
      <w:r>
        <w:rPr>
          <w:sz w:val="22"/>
        </w:rPr>
        <w:sym w:font="Symbol" w:char="F046"/>
      </w:r>
      <w:r w:rsidRPr="00AB3C02">
        <w:rPr>
          <w:sz w:val="22"/>
        </w:rPr>
        <w:t xml:space="preserve"> </w:t>
      </w:r>
      <w:r w:rsidR="00AA3C92">
        <w:rPr>
          <w:sz w:val="22"/>
        </w:rPr>
        <w:t>is</w:t>
      </w:r>
      <w:r w:rsidRPr="00AB3C02">
        <w:rPr>
          <w:sz w:val="22"/>
        </w:rPr>
        <w:t xml:space="preserve"> the geomagnetic latitude; </w:t>
      </w:r>
      <w:r w:rsidRPr="0045328E">
        <w:rPr>
          <w:sz w:val="22"/>
        </w:rPr>
        <w:t>k</w:t>
      </w:r>
      <w:r w:rsidRPr="00AB3C02">
        <w:rPr>
          <w:sz w:val="22"/>
        </w:rPr>
        <w:t xml:space="preserve"> the basic loss factor; </w:t>
      </w:r>
      <w:r w:rsidRPr="0045328E">
        <w:rPr>
          <w:sz w:val="22"/>
        </w:rPr>
        <w:t>p</w:t>
      </w:r>
      <w:r w:rsidRPr="00AB3C02">
        <w:rPr>
          <w:sz w:val="22"/>
        </w:rPr>
        <w:t xml:space="preserve"> is the slant propagation distance in km; </w:t>
      </w:r>
      <w:r w:rsidRPr="0045328E">
        <w:rPr>
          <w:sz w:val="22"/>
        </w:rPr>
        <w:t>G</w:t>
      </w:r>
      <w:r w:rsidRPr="00B25AB5">
        <w:rPr>
          <w:sz w:val="22"/>
          <w:vertAlign w:val="subscript"/>
        </w:rPr>
        <w:t>s</w:t>
      </w:r>
      <w:r w:rsidRPr="00AB3C02">
        <w:rPr>
          <w:sz w:val="22"/>
        </w:rPr>
        <w:t xml:space="preserve"> is the sea gain; </w:t>
      </w:r>
      <w:r w:rsidRPr="0045328E">
        <w:rPr>
          <w:sz w:val="22"/>
        </w:rPr>
        <w:t>G</w:t>
      </w:r>
      <w:r w:rsidRPr="00B25AB5">
        <w:rPr>
          <w:sz w:val="22"/>
          <w:vertAlign w:val="subscript"/>
        </w:rPr>
        <w:t>v</w:t>
      </w:r>
      <w:r w:rsidRPr="00AB3C02">
        <w:rPr>
          <w:sz w:val="22"/>
        </w:rPr>
        <w:t xml:space="preserve"> is the antenna gain factor; and </w:t>
      </w:r>
      <w:proofErr w:type="spellStart"/>
      <w:proofErr w:type="gramStart"/>
      <w:r w:rsidRPr="0045328E">
        <w:rPr>
          <w:sz w:val="22"/>
        </w:rPr>
        <w:t>Δp</w:t>
      </w:r>
      <w:proofErr w:type="spellEnd"/>
      <w:proofErr w:type="gramEnd"/>
      <w:r w:rsidRPr="00AB3C02">
        <w:rPr>
          <w:sz w:val="22"/>
        </w:rPr>
        <w:t xml:space="preserve"> is the beacon’s power with respect to 1kW. </w:t>
      </w:r>
    </w:p>
    <w:p w14:paraId="03F72B69" w14:textId="77777777" w:rsidR="00AB3C02" w:rsidRPr="00AB3C02" w:rsidRDefault="00AB3C02" w:rsidP="0045328E">
      <w:pPr>
        <w:spacing w:line="240" w:lineRule="auto"/>
        <w:jc w:val="both"/>
        <w:rPr>
          <w:sz w:val="22"/>
        </w:rPr>
      </w:pPr>
    </w:p>
    <w:p w14:paraId="3C4920C1" w14:textId="77777777" w:rsidR="00AB3C02" w:rsidRPr="00AB3C02" w:rsidRDefault="00E73B5B" w:rsidP="0045328E">
      <w:pPr>
        <w:spacing w:line="240" w:lineRule="auto"/>
        <w:jc w:val="both"/>
        <w:rPr>
          <w:sz w:val="22"/>
        </w:rPr>
      </w:pPr>
      <w:r>
        <w:rPr>
          <w:sz w:val="22"/>
        </w:rPr>
        <w:t>The g</w:t>
      </w:r>
      <w:r w:rsidR="00AA3C92" w:rsidRPr="00AB3C02">
        <w:rPr>
          <w:sz w:val="22"/>
        </w:rPr>
        <w:t>eomagnetic latitude is</w:t>
      </w:r>
      <w:r>
        <w:rPr>
          <w:sz w:val="22"/>
        </w:rPr>
        <w:t xml:space="preserve"> the</w:t>
      </w:r>
      <w:r w:rsidR="00AA3C92" w:rsidRPr="00AB3C02">
        <w:rPr>
          <w:sz w:val="22"/>
        </w:rPr>
        <w:t xml:space="preserve"> latitude with respect to the poles of Earth’s magnetic field</w:t>
      </w:r>
      <w:r w:rsidR="00AA3C92">
        <w:rPr>
          <w:sz w:val="22"/>
        </w:rPr>
        <w:t xml:space="preserve"> and the </w:t>
      </w:r>
      <w:r w:rsidR="00AB3C02" w:rsidRPr="00AB3C02">
        <w:rPr>
          <w:sz w:val="22"/>
        </w:rPr>
        <w:t>mid-point of the propagation path is used</w:t>
      </w:r>
      <w:r w:rsidR="00AA3C92" w:rsidRPr="00AA3C92">
        <w:rPr>
          <w:sz w:val="22"/>
        </w:rPr>
        <w:t xml:space="preserve"> </w:t>
      </w:r>
      <w:r w:rsidR="00AA3C92">
        <w:rPr>
          <w:sz w:val="22"/>
        </w:rPr>
        <w:t xml:space="preserve">in this equation.  The co-ordinates of the North Pole move, in this example </w:t>
      </w:r>
      <w:r w:rsidR="00AB3C02" w:rsidRPr="00AB3C02">
        <w:rPr>
          <w:sz w:val="22"/>
        </w:rPr>
        <w:t>78.5</w:t>
      </w:r>
      <w:r w:rsidR="00AB3C02" w:rsidRPr="00CD6397">
        <w:rPr>
          <w:sz w:val="22"/>
          <w:vertAlign w:val="superscript"/>
        </w:rPr>
        <w:t>o</w:t>
      </w:r>
      <w:r w:rsidR="00AB3C02" w:rsidRPr="00AB3C02">
        <w:rPr>
          <w:sz w:val="22"/>
        </w:rPr>
        <w:t>N, 69</w:t>
      </w:r>
      <w:r w:rsidR="00AB3C02" w:rsidRPr="00CD6397">
        <w:rPr>
          <w:sz w:val="22"/>
          <w:vertAlign w:val="superscript"/>
        </w:rPr>
        <w:t>o</w:t>
      </w:r>
      <w:r w:rsidR="00AB3C02" w:rsidRPr="00AB3C02">
        <w:rPr>
          <w:sz w:val="22"/>
        </w:rPr>
        <w:t>W</w:t>
      </w:r>
      <w:r w:rsidR="00AA3C92">
        <w:rPr>
          <w:sz w:val="22"/>
        </w:rPr>
        <w:t xml:space="preserve"> are used.  Therefore,</w:t>
      </w:r>
      <w:r w:rsidR="00AB3C02" w:rsidRPr="00AB3C02">
        <w:rPr>
          <w:sz w:val="22"/>
        </w:rPr>
        <w:t xml:space="preserve"> the geomagnetic latitude of a point at geographic latitude α and geographic longitude β is given by:</w:t>
      </w:r>
    </w:p>
    <w:p w14:paraId="5C7A5C23" w14:textId="77777777" w:rsidR="00AB3C02" w:rsidRPr="00AB3C02" w:rsidRDefault="00AB3C02" w:rsidP="0045328E">
      <w:pPr>
        <w:spacing w:line="240" w:lineRule="auto"/>
        <w:jc w:val="both"/>
        <w:rPr>
          <w:sz w:val="22"/>
        </w:rPr>
      </w:pPr>
    </w:p>
    <w:p w14:paraId="5D2D8441" w14:textId="77777777" w:rsidR="00B4599A" w:rsidRDefault="00AB3C02" w:rsidP="00B4599A">
      <w:pPr>
        <w:keepNext/>
        <w:spacing w:line="240" w:lineRule="auto"/>
        <w:jc w:val="center"/>
      </w:pPr>
      <w:r w:rsidRPr="00AB3C02">
        <w:rPr>
          <w:sz w:val="22"/>
        </w:rPr>
        <w:object w:dxaOrig="7000" w:dyaOrig="540" w14:anchorId="1CDB63A3">
          <v:shape id="_x0000_i1030" type="#_x0000_t75" style="width:350.65pt;height:27.4pt" o:ole="">
            <v:imagedata r:id="rId37" o:title=""/>
          </v:shape>
          <o:OLEObject Type="Embed" ProgID="Equation.DSMT4" ShapeID="_x0000_i1030" DrawAspect="Content" ObjectID="_1536239095" r:id="rId38"/>
        </w:object>
      </w:r>
    </w:p>
    <w:p w14:paraId="36378DC7" w14:textId="77777777" w:rsidR="00B4599A" w:rsidRDefault="00B4599A" w:rsidP="00B4599A">
      <w:pPr>
        <w:pStyle w:val="Caption"/>
        <w:jc w:val="center"/>
      </w:pPr>
      <w:bookmarkStart w:id="31" w:name="_Toc462254381"/>
      <w:r>
        <w:t xml:space="preserve">Equation </w:t>
      </w:r>
      <w:r>
        <w:fldChar w:fldCharType="begin"/>
      </w:r>
      <w:r>
        <w:instrText xml:space="preserve"> SEQ Equation \* ARABIC </w:instrText>
      </w:r>
      <w:r>
        <w:fldChar w:fldCharType="separate"/>
      </w:r>
      <w:r>
        <w:rPr>
          <w:noProof/>
        </w:rPr>
        <w:t>3</w:t>
      </w:r>
      <w:r>
        <w:fldChar w:fldCharType="end"/>
      </w:r>
      <w:r>
        <w:t>: Geomagnetic latitude calculation</w:t>
      </w:r>
      <w:bookmarkEnd w:id="31"/>
    </w:p>
    <w:p w14:paraId="0C46CECF" w14:textId="77777777" w:rsidR="00B4599A" w:rsidRDefault="00AB3C02" w:rsidP="0045328E">
      <w:pPr>
        <w:spacing w:line="240" w:lineRule="auto"/>
        <w:jc w:val="right"/>
        <w:rPr>
          <w:sz w:val="22"/>
        </w:rPr>
      </w:pPr>
      <w:r w:rsidRPr="00AB3C02">
        <w:rPr>
          <w:sz w:val="22"/>
        </w:rPr>
        <w:t xml:space="preserve">   </w:t>
      </w:r>
    </w:p>
    <w:p w14:paraId="13788191" w14:textId="77777777" w:rsidR="00AB3C02" w:rsidRPr="00AB3C02" w:rsidRDefault="00AA3C92" w:rsidP="0045328E">
      <w:pPr>
        <w:spacing w:line="240" w:lineRule="auto"/>
        <w:jc w:val="right"/>
        <w:rPr>
          <w:sz w:val="22"/>
        </w:rPr>
      </w:pPr>
      <w:r>
        <w:rPr>
          <w:sz w:val="22"/>
        </w:rPr>
        <w:tab/>
      </w:r>
      <w:r>
        <w:rPr>
          <w:sz w:val="22"/>
        </w:rPr>
        <w:tab/>
      </w:r>
      <w:r w:rsidR="00AB3C02" w:rsidRPr="00AB3C02">
        <w:rPr>
          <w:sz w:val="22"/>
        </w:rPr>
        <w:t xml:space="preserve"> </w:t>
      </w:r>
    </w:p>
    <w:p w14:paraId="110F4B28" w14:textId="77777777" w:rsidR="00AB3C02" w:rsidRPr="00AB3C02" w:rsidRDefault="00AB3C02" w:rsidP="0045328E">
      <w:pPr>
        <w:spacing w:line="240" w:lineRule="auto"/>
        <w:jc w:val="both"/>
        <w:rPr>
          <w:sz w:val="22"/>
        </w:rPr>
      </w:pPr>
    </w:p>
    <w:p w14:paraId="12C2E8D8" w14:textId="77777777" w:rsidR="00AB3C02" w:rsidRPr="00AB3C02" w:rsidRDefault="00AB3C02" w:rsidP="0045328E">
      <w:pPr>
        <w:spacing w:line="240" w:lineRule="auto"/>
        <w:jc w:val="both"/>
        <w:rPr>
          <w:sz w:val="22"/>
        </w:rPr>
      </w:pPr>
      <w:r w:rsidRPr="00AB3C02">
        <w:rPr>
          <w:sz w:val="22"/>
        </w:rPr>
        <w:t xml:space="preserve">The slant propagation distance, </w:t>
      </w:r>
      <w:r w:rsidRPr="0045328E">
        <w:rPr>
          <w:sz w:val="22"/>
        </w:rPr>
        <w:t>p</w:t>
      </w:r>
      <w:r w:rsidRPr="00AB3C02">
        <w:rPr>
          <w:sz w:val="22"/>
        </w:rPr>
        <w:t>, is the total path length travelled by the skywave signal component.  With a typical E-layer height of 100km this distance would be:</w:t>
      </w:r>
    </w:p>
    <w:p w14:paraId="5A6B597E" w14:textId="77777777" w:rsidR="00B4599A" w:rsidRDefault="00AA3C92" w:rsidP="00B4599A">
      <w:pPr>
        <w:pStyle w:val="Caption"/>
        <w:jc w:val="center"/>
      </w:pPr>
      <m:oMath>
        <m:r>
          <m:rPr>
            <m:sty m:val="bi"/>
          </m:rPr>
          <w:rPr>
            <w:rFonts w:ascii="Cambria Math" w:hAnsi="Cambria Math"/>
          </w:rPr>
          <m:t>p=</m:t>
        </m:r>
        <m:rad>
          <m:radPr>
            <m:degHide m:val="1"/>
            <m:ctrlPr>
              <w:rPr>
                <w:rFonts w:ascii="Cambria Math" w:hAnsi="Cambria Math"/>
                <w:i w:val="0"/>
              </w:rPr>
            </m:ctrlPr>
          </m:radPr>
          <m:deg/>
          <m:e>
            <m:sSup>
              <m:sSupPr>
                <m:ctrlPr>
                  <w:rPr>
                    <w:rFonts w:ascii="Cambria Math" w:hAnsi="Cambria Math"/>
                    <w:i w:val="0"/>
                  </w:rPr>
                </m:ctrlPr>
              </m:sSupPr>
              <m:e>
                <m:r>
                  <m:rPr>
                    <m:sty m:val="bi"/>
                  </m:rPr>
                  <w:rPr>
                    <w:rFonts w:ascii="Cambria Math" w:hAnsi="Cambria Math"/>
                  </w:rPr>
                  <m:t>d</m:t>
                </m:r>
              </m:e>
              <m:sup>
                <m:r>
                  <m:rPr>
                    <m:sty m:val="bi"/>
                  </m:rPr>
                  <w:rPr>
                    <w:rFonts w:ascii="Cambria Math" w:hAnsi="Cambria Math"/>
                  </w:rPr>
                  <m:t>2</m:t>
                </m:r>
              </m:sup>
            </m:sSup>
            <m:r>
              <m:rPr>
                <m:sty m:val="bi"/>
              </m:rPr>
              <w:rPr>
                <w:rFonts w:ascii="Cambria Math" w:hAnsi="Cambria Math"/>
              </w:rPr>
              <m:t>+</m:t>
            </m:r>
            <m:sSup>
              <m:sSupPr>
                <m:ctrlPr>
                  <w:rPr>
                    <w:rFonts w:ascii="Cambria Math" w:hAnsi="Cambria Math"/>
                    <w:i w:val="0"/>
                  </w:rPr>
                </m:ctrlPr>
              </m:sSupPr>
              <m:e>
                <m:r>
                  <m:rPr>
                    <m:sty m:val="bi"/>
                  </m:rPr>
                  <w:rPr>
                    <w:rFonts w:ascii="Cambria Math" w:hAnsi="Cambria Math"/>
                  </w:rPr>
                  <m:t>200</m:t>
                </m:r>
              </m:e>
              <m:sup>
                <m:r>
                  <m:rPr>
                    <m:sty m:val="bi"/>
                  </m:rPr>
                  <w:rPr>
                    <w:rFonts w:ascii="Cambria Math" w:hAnsi="Cambria Math"/>
                  </w:rPr>
                  <m:t>2</m:t>
                </m:r>
              </m:sup>
            </m:sSup>
          </m:e>
        </m:rad>
      </m:oMath>
      <w:r w:rsidR="00B4599A" w:rsidRPr="00B4599A">
        <w:t xml:space="preserve"> </w:t>
      </w:r>
    </w:p>
    <w:p w14:paraId="63552B5C" w14:textId="77777777" w:rsidR="00B4599A" w:rsidRDefault="00B4599A" w:rsidP="00B4599A">
      <w:pPr>
        <w:pStyle w:val="Caption"/>
        <w:jc w:val="center"/>
      </w:pPr>
      <w:bookmarkStart w:id="32" w:name="_Toc462254382"/>
      <w:r>
        <w:t xml:space="preserve">Equation </w:t>
      </w:r>
      <w:r>
        <w:fldChar w:fldCharType="begin"/>
      </w:r>
      <w:r>
        <w:instrText xml:space="preserve"> SEQ Equation \* ARABIC </w:instrText>
      </w:r>
      <w:r>
        <w:fldChar w:fldCharType="separate"/>
      </w:r>
      <w:r>
        <w:rPr>
          <w:noProof/>
        </w:rPr>
        <w:t>4</w:t>
      </w:r>
      <w:r>
        <w:fldChar w:fldCharType="end"/>
      </w:r>
      <w:r>
        <w:t>: slant propagation distance calculation</w:t>
      </w:r>
      <w:bookmarkEnd w:id="32"/>
    </w:p>
    <w:p w14:paraId="556D5A89" w14:textId="77777777" w:rsidR="00AB3C02" w:rsidRPr="00AB3C02" w:rsidRDefault="00AB3C02" w:rsidP="0045328E">
      <w:pPr>
        <w:spacing w:line="240" w:lineRule="auto"/>
        <w:jc w:val="right"/>
        <w:rPr>
          <w:sz w:val="22"/>
        </w:rPr>
      </w:pPr>
      <w:r w:rsidRPr="00AB3C02">
        <w:rPr>
          <w:sz w:val="22"/>
        </w:rPr>
        <w:tab/>
      </w:r>
      <w:r w:rsidRPr="00AB3C02">
        <w:rPr>
          <w:sz w:val="22"/>
        </w:rPr>
        <w:tab/>
      </w:r>
      <w:r w:rsidRPr="00AB3C02">
        <w:rPr>
          <w:sz w:val="22"/>
        </w:rPr>
        <w:tab/>
        <w:t xml:space="preserve"> </w:t>
      </w:r>
      <w:r w:rsidRPr="00AB3C02">
        <w:rPr>
          <w:sz w:val="22"/>
        </w:rPr>
        <w:tab/>
        <w:t xml:space="preserve">          </w:t>
      </w:r>
      <w:r w:rsidR="008F2A22">
        <w:rPr>
          <w:sz w:val="22"/>
        </w:rPr>
        <w:tab/>
      </w:r>
      <w:r w:rsidR="008F2A22">
        <w:rPr>
          <w:sz w:val="22"/>
        </w:rPr>
        <w:tab/>
      </w:r>
      <w:r w:rsidR="008F2A22">
        <w:rPr>
          <w:sz w:val="22"/>
        </w:rPr>
        <w:tab/>
      </w:r>
    </w:p>
    <w:p w14:paraId="5F372C1C" w14:textId="77777777" w:rsidR="00AA3C92" w:rsidRDefault="00AA3C92" w:rsidP="0045328E">
      <w:pPr>
        <w:spacing w:line="240" w:lineRule="auto"/>
        <w:jc w:val="both"/>
        <w:rPr>
          <w:sz w:val="22"/>
        </w:rPr>
      </w:pPr>
    </w:p>
    <w:p w14:paraId="62A40F0D" w14:textId="77777777" w:rsidR="00AB3C02" w:rsidRPr="00AB3C02" w:rsidRDefault="00AB3C02" w:rsidP="0045328E">
      <w:pPr>
        <w:spacing w:line="240" w:lineRule="auto"/>
        <w:jc w:val="both"/>
        <w:rPr>
          <w:sz w:val="22"/>
        </w:rPr>
      </w:pPr>
      <w:r w:rsidRPr="00AB3C02">
        <w:rPr>
          <w:sz w:val="22"/>
        </w:rPr>
        <w:t xml:space="preserve">The basic loss factor attenuation due to the ionosphere, </w:t>
      </w:r>
      <w:r w:rsidRPr="00AA3C92">
        <w:rPr>
          <w:i/>
          <w:sz w:val="22"/>
        </w:rPr>
        <w:t>k</w:t>
      </w:r>
      <w:r w:rsidRPr="00AB3C02">
        <w:rPr>
          <w:sz w:val="22"/>
        </w:rPr>
        <w:t>, is calculated using:</w:t>
      </w:r>
    </w:p>
    <w:p w14:paraId="4AE2609B" w14:textId="77777777" w:rsidR="00B4599A" w:rsidRDefault="00AB3C02" w:rsidP="00B4599A">
      <w:pPr>
        <w:keepNext/>
        <w:spacing w:line="240" w:lineRule="auto"/>
        <w:jc w:val="center"/>
      </w:pPr>
      <w:r w:rsidRPr="00AB3C02">
        <w:rPr>
          <w:sz w:val="22"/>
        </w:rPr>
        <w:object w:dxaOrig="3600" w:dyaOrig="460" w14:anchorId="278A22C8">
          <v:shape id="_x0000_i1031" type="#_x0000_t75" style="width:180.75pt;height:22.5pt" o:ole="">
            <v:imagedata r:id="rId39" o:title=""/>
          </v:shape>
          <o:OLEObject Type="Embed" ProgID="Equation.DSMT4" ShapeID="_x0000_i1031" DrawAspect="Content" ObjectID="_1536239096" r:id="rId40"/>
        </w:object>
      </w:r>
    </w:p>
    <w:p w14:paraId="69A0EFF3" w14:textId="77777777" w:rsidR="00B4599A" w:rsidRDefault="00B4599A" w:rsidP="00B4599A">
      <w:pPr>
        <w:pStyle w:val="Caption"/>
        <w:jc w:val="center"/>
      </w:pPr>
      <w:bookmarkStart w:id="33" w:name="_Toc462254383"/>
      <w:r>
        <w:t xml:space="preserve">Equation </w:t>
      </w:r>
      <w:r>
        <w:fldChar w:fldCharType="begin"/>
      </w:r>
      <w:r>
        <w:instrText xml:space="preserve"> SEQ Equation \* ARABIC </w:instrText>
      </w:r>
      <w:r>
        <w:fldChar w:fldCharType="separate"/>
      </w:r>
      <w:r>
        <w:rPr>
          <w:noProof/>
        </w:rPr>
        <w:t>5</w:t>
      </w:r>
      <w:r>
        <w:fldChar w:fldCharType="end"/>
      </w:r>
      <w:r>
        <w:t>: ionospheric loss calculation</w:t>
      </w:r>
      <w:bookmarkEnd w:id="33"/>
    </w:p>
    <w:p w14:paraId="5E222EB8" w14:textId="77777777" w:rsidR="00AB3C02" w:rsidRPr="00AB3C02" w:rsidRDefault="00AB3C02" w:rsidP="0045328E">
      <w:pPr>
        <w:spacing w:line="240" w:lineRule="auto"/>
        <w:jc w:val="right"/>
        <w:rPr>
          <w:sz w:val="22"/>
        </w:rPr>
      </w:pPr>
      <w:r w:rsidRPr="00AB3C02">
        <w:rPr>
          <w:sz w:val="22"/>
        </w:rPr>
        <w:t>,</w:t>
      </w:r>
      <w:r w:rsidRPr="00AB3C02">
        <w:rPr>
          <w:sz w:val="22"/>
        </w:rPr>
        <w:tab/>
      </w:r>
      <w:r w:rsidRPr="00AB3C02">
        <w:rPr>
          <w:sz w:val="22"/>
        </w:rPr>
        <w:tab/>
      </w:r>
      <w:r w:rsidRPr="00AB3C02">
        <w:rPr>
          <w:sz w:val="22"/>
        </w:rPr>
        <w:tab/>
        <w:t xml:space="preserve"> </w:t>
      </w:r>
      <w:r w:rsidR="008F2A22">
        <w:rPr>
          <w:sz w:val="22"/>
        </w:rPr>
        <w:tab/>
      </w:r>
      <w:r w:rsidR="008F2A22">
        <w:rPr>
          <w:sz w:val="22"/>
        </w:rPr>
        <w:tab/>
      </w:r>
    </w:p>
    <w:p w14:paraId="606722D5" w14:textId="77777777" w:rsidR="00AB3C02" w:rsidRPr="00AB3C02" w:rsidRDefault="00AB3C02" w:rsidP="0045328E">
      <w:pPr>
        <w:spacing w:line="240" w:lineRule="auto"/>
        <w:jc w:val="both"/>
        <w:rPr>
          <w:sz w:val="22"/>
        </w:rPr>
      </w:pPr>
    </w:p>
    <w:p w14:paraId="6FB024FC" w14:textId="77777777" w:rsidR="00AB3C02" w:rsidRPr="00AB3C02" w:rsidRDefault="002E5FD8" w:rsidP="0045328E">
      <w:pPr>
        <w:spacing w:line="240" w:lineRule="auto"/>
        <w:jc w:val="both"/>
        <w:rPr>
          <w:sz w:val="22"/>
        </w:rPr>
      </w:pPr>
      <w:r w:rsidRPr="00AB3C02">
        <w:rPr>
          <w:sz w:val="22"/>
        </w:rPr>
        <w:t>Where</w:t>
      </w:r>
      <w:r w:rsidR="00AB3C02" w:rsidRPr="00AB3C02">
        <w:rPr>
          <w:sz w:val="22"/>
        </w:rPr>
        <w:t xml:space="preserve"> f</w:t>
      </w:r>
      <w:r w:rsidR="00AB3C02" w:rsidRPr="00AA3C92">
        <w:rPr>
          <w:sz w:val="22"/>
          <w:vertAlign w:val="subscript"/>
        </w:rPr>
        <w:t>kHz</w:t>
      </w:r>
      <w:r w:rsidR="00AB3C02" w:rsidRPr="00AB3C02">
        <w:rPr>
          <w:sz w:val="22"/>
        </w:rPr>
        <w:t xml:space="preserve"> is the frequency in kHz.</w:t>
      </w:r>
    </w:p>
    <w:p w14:paraId="5387CF0E" w14:textId="77777777" w:rsidR="00AB3C02" w:rsidRPr="00AB3C02" w:rsidRDefault="00AB3C02" w:rsidP="0045328E">
      <w:pPr>
        <w:spacing w:line="240" w:lineRule="auto"/>
        <w:jc w:val="both"/>
        <w:rPr>
          <w:sz w:val="22"/>
        </w:rPr>
      </w:pPr>
    </w:p>
    <w:p w14:paraId="1C1F4180" w14:textId="77777777" w:rsidR="00AB3C02" w:rsidRPr="00AB3C02" w:rsidRDefault="00AB3C02" w:rsidP="0045328E">
      <w:pPr>
        <w:spacing w:line="240" w:lineRule="auto"/>
        <w:jc w:val="both"/>
        <w:rPr>
          <w:sz w:val="22"/>
        </w:rPr>
      </w:pPr>
      <w:r w:rsidRPr="00AB3C02">
        <w:rPr>
          <w:sz w:val="22"/>
        </w:rPr>
        <w:t>Sea gain, G</w:t>
      </w:r>
      <w:r w:rsidRPr="00AA3C92">
        <w:rPr>
          <w:sz w:val="22"/>
          <w:vertAlign w:val="subscript"/>
        </w:rPr>
        <w:t>s</w:t>
      </w:r>
      <w:r w:rsidRPr="00AB3C02">
        <w:rPr>
          <w:sz w:val="22"/>
        </w:rPr>
        <w:t xml:space="preserve">, takes into account the small increase in skywave field strength experienced when either the transmitter or the receiver is located close to the sea. </w:t>
      </w:r>
      <w:r w:rsidR="008109A6">
        <w:rPr>
          <w:sz w:val="22"/>
        </w:rPr>
        <w:t>Poppe</w:t>
      </w:r>
      <w:r w:rsidR="00406055">
        <w:rPr>
          <w:sz w:val="22"/>
        </w:rPr>
        <w:t xml:space="preserve"> [5]</w:t>
      </w:r>
      <w:r w:rsidRPr="00AB3C02">
        <w:rPr>
          <w:sz w:val="22"/>
        </w:rPr>
        <w:t xml:space="preserve"> shows that there is a sea gain of 1.5dB o</w:t>
      </w:r>
      <w:r w:rsidR="008109A6">
        <w:rPr>
          <w:sz w:val="22"/>
        </w:rPr>
        <w:t>ver a 1000km path, for each end of the propagation path when located near</w:t>
      </w:r>
      <w:r w:rsidRPr="00AB3C02">
        <w:rPr>
          <w:sz w:val="22"/>
        </w:rPr>
        <w:t xml:space="preserve"> the sea. Sea gain falls with distance from the sea, becoming negligible by 5km</w:t>
      </w:r>
      <w:r w:rsidR="00FA2DDD">
        <w:rPr>
          <w:sz w:val="22"/>
        </w:rPr>
        <w:t xml:space="preserve"> (</w:t>
      </w:r>
      <w:r w:rsidR="00FA2DDD">
        <w:rPr>
          <w:sz w:val="22"/>
        </w:rPr>
        <w:fldChar w:fldCharType="begin"/>
      </w:r>
      <w:r w:rsidR="00FA2DDD">
        <w:rPr>
          <w:sz w:val="22"/>
        </w:rPr>
        <w:instrText xml:space="preserve"> REF _Ref459644772 \h  \* MERGEFORMAT </w:instrText>
      </w:r>
      <w:r w:rsidR="00FA2DDD">
        <w:rPr>
          <w:sz w:val="22"/>
        </w:rPr>
      </w:r>
      <w:r w:rsidR="00FA2DDD">
        <w:rPr>
          <w:sz w:val="22"/>
        </w:rPr>
        <w:fldChar w:fldCharType="separate"/>
      </w:r>
      <w:r w:rsidR="00FA2DDD" w:rsidRPr="00FA2DDD">
        <w:rPr>
          <w:sz w:val="22"/>
        </w:rPr>
        <w:t>Figure 2</w:t>
      </w:r>
      <w:r w:rsidR="00FA2DDD">
        <w:rPr>
          <w:sz w:val="22"/>
        </w:rPr>
        <w:fldChar w:fldCharType="end"/>
      </w:r>
      <w:r w:rsidR="00FA2DDD">
        <w:rPr>
          <w:sz w:val="22"/>
        </w:rPr>
        <w:t xml:space="preserve"> plots both)</w:t>
      </w:r>
      <w:r w:rsidRPr="00AB3C02">
        <w:rPr>
          <w:sz w:val="22"/>
        </w:rPr>
        <w:t>.</w:t>
      </w:r>
    </w:p>
    <w:p w14:paraId="7620972D" w14:textId="77777777" w:rsidR="00AB3C02" w:rsidRPr="00AB3C02" w:rsidRDefault="00AB3C02" w:rsidP="0045328E">
      <w:pPr>
        <w:spacing w:line="240" w:lineRule="auto"/>
        <w:jc w:val="both"/>
        <w:rPr>
          <w:sz w:val="22"/>
        </w:rPr>
      </w:pPr>
    </w:p>
    <w:p w14:paraId="5B5484B8" w14:textId="77777777" w:rsidR="008F2A22" w:rsidRDefault="00AB3C02" w:rsidP="008F2A22">
      <w:pPr>
        <w:pStyle w:val="FigureTable"/>
        <w:keepNext/>
        <w:spacing w:after="0"/>
      </w:pPr>
      <w:r w:rsidRPr="00AB3C02">
        <w:rPr>
          <w:rFonts w:asciiTheme="minorHAnsi" w:eastAsiaTheme="minorHAnsi" w:hAnsiTheme="minorHAnsi" w:cstheme="minorBidi"/>
          <w:noProof/>
          <w:sz w:val="22"/>
          <w:szCs w:val="22"/>
          <w:lang w:val="en-IE" w:eastAsia="en-IE"/>
        </w:rPr>
        <w:drawing>
          <wp:inline distT="0" distB="0" distL="0" distR="0" wp14:anchorId="79651FD4" wp14:editId="37830BAA">
            <wp:extent cx="4946015" cy="2178685"/>
            <wp:effectExtent l="19050" t="19050" r="26035" b="12065"/>
            <wp:docPr id="29" name="Picture 29" descr="sea g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sea gain"/>
                    <pic:cNvPicPr>
                      <a:picLocks noChangeAspect="1" noChangeArrowheads="1"/>
                    </pic:cNvPicPr>
                  </pic:nvPicPr>
                  <pic:blipFill>
                    <a:blip r:embed="rId41">
                      <a:extLst>
                        <a:ext uri="{28A0092B-C50C-407E-A947-70E740481C1C}">
                          <a14:useLocalDpi xmlns:a14="http://schemas.microsoft.com/office/drawing/2010/main" val="0"/>
                        </a:ext>
                      </a:extLst>
                    </a:blip>
                    <a:srcRect l="6995" t="6200" r="3996" b="26660"/>
                    <a:stretch>
                      <a:fillRect/>
                    </a:stretch>
                  </pic:blipFill>
                  <pic:spPr bwMode="auto">
                    <a:xfrm>
                      <a:off x="0" y="0"/>
                      <a:ext cx="4946015" cy="2178685"/>
                    </a:xfrm>
                    <a:prstGeom prst="rect">
                      <a:avLst/>
                    </a:prstGeom>
                    <a:noFill/>
                    <a:ln w="6350" cmpd="sng">
                      <a:solidFill>
                        <a:srgbClr val="000000"/>
                      </a:solidFill>
                      <a:miter lim="800000"/>
                      <a:headEnd/>
                      <a:tailEnd/>
                    </a:ln>
                    <a:effectLst/>
                  </pic:spPr>
                </pic:pic>
              </a:graphicData>
            </a:graphic>
          </wp:inline>
        </w:drawing>
      </w:r>
    </w:p>
    <w:p w14:paraId="54746BEC" w14:textId="77777777" w:rsidR="00AB3C02" w:rsidRPr="00AB3C02" w:rsidRDefault="008F2A22" w:rsidP="008F2A22">
      <w:pPr>
        <w:pStyle w:val="Caption"/>
        <w:jc w:val="center"/>
      </w:pPr>
      <w:bookmarkStart w:id="34" w:name="_Ref459644772"/>
      <w:bookmarkStart w:id="35" w:name="_Toc462254377"/>
      <w:r>
        <w:t xml:space="preserve">Figure </w:t>
      </w:r>
      <w:r>
        <w:fldChar w:fldCharType="begin"/>
      </w:r>
      <w:r>
        <w:instrText xml:space="preserve"> SEQ Figure \* ARABIC </w:instrText>
      </w:r>
      <w:r>
        <w:fldChar w:fldCharType="separate"/>
      </w:r>
      <w:r>
        <w:rPr>
          <w:noProof/>
        </w:rPr>
        <w:t>2</w:t>
      </w:r>
      <w:r>
        <w:fldChar w:fldCharType="end"/>
      </w:r>
      <w:bookmarkEnd w:id="34"/>
      <w:r>
        <w:t xml:space="preserve">: </w:t>
      </w:r>
      <w:r w:rsidRPr="008F2A22">
        <w:t xml:space="preserve">Sea gain occurs when either the transmitter or the receiver is </w:t>
      </w:r>
      <w:r>
        <w:t xml:space="preserve">located within 5km of the sea and is </w:t>
      </w:r>
      <w:r w:rsidRPr="008F2A22">
        <w:t xml:space="preserve"> calculated for both ends of the transmission path </w:t>
      </w:r>
      <w:r w:rsidRPr="008F2A22">
        <w:fldChar w:fldCharType="begin"/>
      </w:r>
      <w:r w:rsidRPr="008F2A22">
        <w:instrText xml:space="preserve"> QUOTE "[72]" </w:instrText>
      </w:r>
      <w:r w:rsidRPr="008F2A22">
        <w:fldChar w:fldCharType="begin"/>
      </w:r>
      <w:r w:rsidRPr="008F2A22">
        <w:instrText xml:space="preserve"> ADDIN PROCITE ÿ\11\05‘\19\02\00\00\00\04[72]\00\04\00I\00\00\005C:\5CProgram Files\5CProCite5 Demo\5CDatabase\5CAlan_test.pdt:CCIR (International Radio Consultative Committee) 1990 #74\00:\00 </w:instrText>
      </w:r>
      <w:r w:rsidRPr="008F2A22">
        <w:fldChar w:fldCharType="end"/>
      </w:r>
      <w:r w:rsidRPr="008F2A22">
        <w:fldChar w:fldCharType="separate"/>
      </w:r>
      <w:r w:rsidRPr="008F2A22">
        <w:t>[</w:t>
      </w:r>
      <w:r w:rsidRPr="008F2A22">
        <w:fldChar w:fldCharType="begin"/>
      </w:r>
      <w:r w:rsidRPr="008F2A22">
        <w:instrText xml:space="preserve"> REF _Ref459643916 \r \h </w:instrText>
      </w:r>
      <w:r>
        <w:instrText xml:space="preserve"> \* MERGEFORMAT </w:instrText>
      </w:r>
      <w:r w:rsidRPr="008F2A22">
        <w:fldChar w:fldCharType="separate"/>
      </w:r>
      <w:r w:rsidRPr="008F2A22">
        <w:t>5</w:t>
      </w:r>
      <w:r w:rsidRPr="008F2A22">
        <w:fldChar w:fldCharType="end"/>
      </w:r>
      <w:r w:rsidRPr="008F2A22">
        <w:t>]</w:t>
      </w:r>
      <w:r w:rsidRPr="008F2A22">
        <w:fldChar w:fldCharType="end"/>
      </w:r>
      <w:r w:rsidRPr="008F2A22">
        <w:t>.</w:t>
      </w:r>
      <w:bookmarkEnd w:id="35"/>
    </w:p>
    <w:p w14:paraId="115D17DA" w14:textId="77777777" w:rsidR="00AB3C02" w:rsidRPr="00AB3C02" w:rsidRDefault="00AB3C02" w:rsidP="0045328E">
      <w:pPr>
        <w:spacing w:line="240" w:lineRule="auto"/>
        <w:jc w:val="both"/>
        <w:rPr>
          <w:sz w:val="22"/>
        </w:rPr>
      </w:pPr>
    </w:p>
    <w:p w14:paraId="3B68B4E0" w14:textId="77777777" w:rsidR="00AB3C02" w:rsidRPr="00AB3C02" w:rsidRDefault="0045328E" w:rsidP="0045328E">
      <w:pPr>
        <w:spacing w:line="240" w:lineRule="auto"/>
        <w:jc w:val="both"/>
        <w:rPr>
          <w:sz w:val="22"/>
        </w:rPr>
      </w:pPr>
      <w:r w:rsidRPr="00AB3C02">
        <w:rPr>
          <w:sz w:val="22"/>
        </w:rPr>
        <w:t>G</w:t>
      </w:r>
      <w:r w:rsidRPr="000D266A">
        <w:rPr>
          <w:sz w:val="22"/>
          <w:vertAlign w:val="subscript"/>
        </w:rPr>
        <w:t>v</w:t>
      </w:r>
      <w:r w:rsidRPr="00AB3C02">
        <w:rPr>
          <w:sz w:val="22"/>
        </w:rPr>
        <w:t>, the antenna gain factor, depends on the vertical polar diagram of the antenna. Almost all radiobeacon antennas are vertical monopoles, with or without capacity hats, and</w:t>
      </w:r>
      <w:r w:rsidR="00CD6397">
        <w:rPr>
          <w:sz w:val="22"/>
        </w:rPr>
        <w:t xml:space="preserve"> are</w:t>
      </w:r>
      <w:r w:rsidRPr="00AB3C02">
        <w:rPr>
          <w:sz w:val="22"/>
        </w:rPr>
        <w:t xml:space="preserve"> short in terms of wavelength.</w:t>
      </w:r>
      <w:r w:rsidR="00406055">
        <w:rPr>
          <w:sz w:val="22"/>
        </w:rPr>
        <w:t xml:space="preserve">  </w:t>
      </w:r>
      <w:r w:rsidR="00CD6397">
        <w:rPr>
          <w:sz w:val="22"/>
        </w:rPr>
        <w:t>As such,</w:t>
      </w:r>
      <w:r w:rsidR="00AB3C02" w:rsidRPr="00AB3C02">
        <w:rPr>
          <w:sz w:val="22"/>
        </w:rPr>
        <w:t xml:space="preserve"> the </w:t>
      </w:r>
      <w:r w:rsidR="00CD6397">
        <w:rPr>
          <w:sz w:val="22"/>
        </w:rPr>
        <w:t>antenna</w:t>
      </w:r>
      <w:r w:rsidR="00AB3C02" w:rsidRPr="00AB3C02">
        <w:rPr>
          <w:sz w:val="22"/>
        </w:rPr>
        <w:t xml:space="preserve"> polar diagram has a maximum in the horizontal plane and a null vertically above.  </w:t>
      </w:r>
      <w:r w:rsidR="00CD6397">
        <w:rPr>
          <w:sz w:val="22"/>
        </w:rPr>
        <w:t xml:space="preserve">Poppe developed an approximation for this, from which the following </w:t>
      </w:r>
      <w:r w:rsidR="00AB3C02" w:rsidRPr="00AB3C02">
        <w:rPr>
          <w:sz w:val="22"/>
        </w:rPr>
        <w:t xml:space="preserve">polynomial </w:t>
      </w:r>
      <w:r w:rsidR="00CD6397">
        <w:rPr>
          <w:sz w:val="22"/>
        </w:rPr>
        <w:t xml:space="preserve">can be used to calculate the amount of gain </w:t>
      </w:r>
      <w:r w:rsidR="00406055">
        <w:rPr>
          <w:sz w:val="22"/>
        </w:rPr>
        <w:t>[5]</w:t>
      </w:r>
      <w:r w:rsidR="00AB3C02" w:rsidRPr="00AB3C02">
        <w:rPr>
          <w:sz w:val="22"/>
        </w:rPr>
        <w:t>:</w:t>
      </w:r>
    </w:p>
    <w:p w14:paraId="3AEFD56F" w14:textId="77777777" w:rsidR="00AB3C02" w:rsidRPr="00AB3C02" w:rsidRDefault="00AB3C02" w:rsidP="0045328E">
      <w:pPr>
        <w:spacing w:line="240" w:lineRule="auto"/>
        <w:jc w:val="both"/>
        <w:rPr>
          <w:sz w:val="22"/>
        </w:rPr>
      </w:pPr>
    </w:p>
    <w:p w14:paraId="1DDBD7EC" w14:textId="77777777" w:rsidR="00B4599A" w:rsidRDefault="00AB3C02" w:rsidP="00B4599A">
      <w:pPr>
        <w:keepNext/>
        <w:spacing w:line="240" w:lineRule="auto"/>
        <w:jc w:val="center"/>
      </w:pPr>
      <w:r w:rsidRPr="00AB3C02">
        <w:rPr>
          <w:sz w:val="22"/>
        </w:rPr>
        <w:object w:dxaOrig="6520" w:dyaOrig="460" w14:anchorId="39635824">
          <v:shape id="_x0000_i1032" type="#_x0000_t75" style="width:326.65pt;height:22.5pt" o:ole="">
            <v:imagedata r:id="rId42" o:title=""/>
          </v:shape>
          <o:OLEObject Type="Embed" ProgID="Equation.DSMT4" ShapeID="_x0000_i1032" DrawAspect="Content" ObjectID="_1536239097" r:id="rId43"/>
        </w:object>
      </w:r>
    </w:p>
    <w:p w14:paraId="15F72EFC" w14:textId="6A827692" w:rsidR="00B4599A" w:rsidRDefault="00B4599A" w:rsidP="00B4599A">
      <w:pPr>
        <w:pStyle w:val="Caption"/>
        <w:jc w:val="center"/>
      </w:pPr>
      <w:bookmarkStart w:id="36" w:name="_Toc462254384"/>
      <w:r>
        <w:t xml:space="preserve">Equation </w:t>
      </w:r>
      <w:r>
        <w:fldChar w:fldCharType="begin"/>
      </w:r>
      <w:r>
        <w:instrText xml:space="preserve"> SEQ Equation \* ARABIC </w:instrText>
      </w:r>
      <w:r>
        <w:fldChar w:fldCharType="separate"/>
      </w:r>
      <w:r>
        <w:rPr>
          <w:noProof/>
        </w:rPr>
        <w:t>6</w:t>
      </w:r>
      <w:r>
        <w:fldChar w:fldCharType="end"/>
      </w:r>
      <w:r>
        <w:t xml:space="preserve">: Antenna gain </w:t>
      </w:r>
      <w:bookmarkEnd w:id="36"/>
      <w:r w:rsidR="00B25AB5">
        <w:t>polynomial</w:t>
      </w:r>
    </w:p>
    <w:p w14:paraId="46D24081" w14:textId="77777777" w:rsidR="00AB3C02" w:rsidRPr="00AB3C02" w:rsidRDefault="00CD6397" w:rsidP="0045328E">
      <w:pPr>
        <w:spacing w:line="240" w:lineRule="auto"/>
        <w:jc w:val="right"/>
        <w:rPr>
          <w:sz w:val="22"/>
        </w:rPr>
      </w:pPr>
      <w:r>
        <w:rPr>
          <w:sz w:val="22"/>
        </w:rPr>
        <w:tab/>
      </w:r>
      <w:r>
        <w:rPr>
          <w:sz w:val="22"/>
        </w:rPr>
        <w:tab/>
      </w:r>
      <w:r w:rsidR="00AB3C02" w:rsidRPr="00AB3C02">
        <w:rPr>
          <w:sz w:val="22"/>
        </w:rPr>
        <w:t xml:space="preserve">   </w:t>
      </w:r>
    </w:p>
    <w:p w14:paraId="0B016F3B" w14:textId="77777777" w:rsidR="00AB3C02" w:rsidRPr="00AB3C02" w:rsidRDefault="00AB3C02" w:rsidP="0045328E">
      <w:pPr>
        <w:spacing w:line="240" w:lineRule="auto"/>
        <w:jc w:val="both"/>
        <w:rPr>
          <w:sz w:val="22"/>
        </w:rPr>
      </w:pPr>
    </w:p>
    <w:p w14:paraId="5114E028" w14:textId="77777777" w:rsidR="00AB3C02" w:rsidRDefault="002E5FD8" w:rsidP="0045328E">
      <w:pPr>
        <w:spacing w:line="240" w:lineRule="auto"/>
        <w:jc w:val="both"/>
        <w:rPr>
          <w:sz w:val="22"/>
        </w:rPr>
      </w:pPr>
      <w:r w:rsidRPr="00AB3C02">
        <w:rPr>
          <w:sz w:val="22"/>
        </w:rPr>
        <w:t>Where</w:t>
      </w:r>
      <w:r w:rsidR="00AB3C02" w:rsidRPr="00AB3C02">
        <w:rPr>
          <w:sz w:val="22"/>
        </w:rPr>
        <w:t xml:space="preserve"> ld = log10 (distance in km).</w:t>
      </w:r>
    </w:p>
    <w:p w14:paraId="28E84170" w14:textId="77777777" w:rsidR="00FC41B4" w:rsidRDefault="00FC41B4" w:rsidP="0045328E">
      <w:pPr>
        <w:spacing w:line="240" w:lineRule="auto"/>
        <w:jc w:val="both"/>
        <w:rPr>
          <w:sz w:val="22"/>
        </w:rPr>
      </w:pPr>
    </w:p>
    <w:p w14:paraId="71233688" w14:textId="77777777" w:rsidR="008F2A22" w:rsidRDefault="00FC41B4" w:rsidP="008F2A22">
      <w:pPr>
        <w:keepNext/>
        <w:spacing w:line="240" w:lineRule="auto"/>
        <w:jc w:val="center"/>
      </w:pPr>
      <w:r>
        <w:rPr>
          <w:rFonts w:ascii="Times New Roman" w:hAnsi="Times New Roman"/>
          <w:noProof/>
          <w:szCs w:val="24"/>
          <w:lang w:val="en-IE" w:eastAsia="en-IE"/>
        </w:rPr>
        <w:drawing>
          <wp:inline distT="0" distB="0" distL="0" distR="0" wp14:anchorId="33393FAF" wp14:editId="364CF7EA">
            <wp:extent cx="5526405" cy="4023360"/>
            <wp:effectExtent l="19050" t="19050" r="17145" b="15240"/>
            <wp:docPr id="9" name="Picture 9" descr="gnd+s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gnd+sky"/>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526405" cy="4023360"/>
                    </a:xfrm>
                    <a:prstGeom prst="rect">
                      <a:avLst/>
                    </a:prstGeom>
                    <a:noFill/>
                    <a:ln w="6350" cmpd="sng">
                      <a:solidFill>
                        <a:srgbClr val="000000"/>
                      </a:solidFill>
                      <a:miter lim="800000"/>
                      <a:headEnd/>
                      <a:tailEnd/>
                    </a:ln>
                    <a:effectLst/>
                  </pic:spPr>
                </pic:pic>
              </a:graphicData>
            </a:graphic>
          </wp:inline>
        </w:drawing>
      </w:r>
    </w:p>
    <w:p w14:paraId="6EEFFF3B" w14:textId="77777777" w:rsidR="00FC41B4" w:rsidRPr="00AB3C02" w:rsidRDefault="008F2A22" w:rsidP="008F2A22">
      <w:pPr>
        <w:pStyle w:val="Caption"/>
        <w:jc w:val="center"/>
      </w:pPr>
      <w:bookmarkStart w:id="37" w:name="_Ref459644820"/>
      <w:bookmarkStart w:id="38" w:name="_Toc462254378"/>
      <w:r>
        <w:t xml:space="preserve">Figure </w:t>
      </w:r>
      <w:r>
        <w:fldChar w:fldCharType="begin"/>
      </w:r>
      <w:r>
        <w:instrText xml:space="preserve"> SEQ Figure \* ARABIC </w:instrText>
      </w:r>
      <w:r>
        <w:fldChar w:fldCharType="separate"/>
      </w:r>
      <w:r>
        <w:rPr>
          <w:noProof/>
        </w:rPr>
        <w:t>3</w:t>
      </w:r>
      <w:r>
        <w:fldChar w:fldCharType="end"/>
      </w:r>
      <w:bookmarkEnd w:id="37"/>
      <w:r>
        <w:t>: Groundwave and skywave curves for a 1kW transmitter (curves show extremes of propagation for groundwave and two different percentile signal strengths for skywave), [</w:t>
      </w:r>
      <w:r>
        <w:fldChar w:fldCharType="begin"/>
      </w:r>
      <w:r>
        <w:instrText xml:space="preserve"> REF _Ref459644001 \r \h </w:instrText>
      </w:r>
      <w:r>
        <w:fldChar w:fldCharType="separate"/>
      </w:r>
      <w:r>
        <w:t>7</w:t>
      </w:r>
      <w:r>
        <w:fldChar w:fldCharType="end"/>
      </w:r>
      <w:r>
        <w:t>].</w:t>
      </w:r>
      <w:bookmarkEnd w:id="38"/>
    </w:p>
    <w:p w14:paraId="081F7625" w14:textId="77777777" w:rsidR="0045328E" w:rsidRDefault="0045328E" w:rsidP="0045328E">
      <w:pPr>
        <w:spacing w:line="240" w:lineRule="auto"/>
      </w:pPr>
    </w:p>
    <w:p w14:paraId="3A0418B9" w14:textId="77777777" w:rsidR="00FC41B4" w:rsidRDefault="00FC41B4" w:rsidP="0045328E">
      <w:pPr>
        <w:pStyle w:val="BodyText"/>
      </w:pPr>
      <w:r>
        <w:t xml:space="preserve">An </w:t>
      </w:r>
      <w:r w:rsidR="00CD6397">
        <w:t xml:space="preserve">approximate skywave field strength </w:t>
      </w:r>
      <w:proofErr w:type="gramStart"/>
      <w:r w:rsidR="00CD6397">
        <w:t>can be calculated</w:t>
      </w:r>
      <w:proofErr w:type="gramEnd"/>
      <w:r w:rsidR="00CD6397">
        <w:t xml:space="preserve"> </w:t>
      </w:r>
      <w:r w:rsidR="002E5FD8">
        <w:t>with</w:t>
      </w:r>
      <w:r w:rsidR="00CD6397">
        <w:t xml:space="preserve"> the skywave propagation curves</w:t>
      </w:r>
      <w:r>
        <w:t xml:space="preserve"> shown in </w:t>
      </w:r>
      <w:r w:rsidR="00FA2DDD">
        <w:fldChar w:fldCharType="begin"/>
      </w:r>
      <w:r w:rsidR="00FA2DDD">
        <w:instrText xml:space="preserve"> REF _Ref459644820 \h </w:instrText>
      </w:r>
      <w:r w:rsidR="00FA2DDD">
        <w:fldChar w:fldCharType="separate"/>
      </w:r>
      <w:r w:rsidR="00FA2DDD">
        <w:t xml:space="preserve">Figure </w:t>
      </w:r>
      <w:r w:rsidR="00FA2DDD">
        <w:rPr>
          <w:noProof/>
        </w:rPr>
        <w:t>3</w:t>
      </w:r>
      <w:r w:rsidR="00FA2DDD">
        <w:fldChar w:fldCharType="end"/>
      </w:r>
      <w:r>
        <w:t xml:space="preserve">.   The red and pink curves related to the 50%-tile and 95%-tile skywave signal strengths for a 1kW transmission at mid-latitudes.     </w:t>
      </w:r>
      <w:r w:rsidR="00CD6397">
        <w:t>By reference to the wanted station’s power with</w:t>
      </w:r>
      <w:r>
        <w:t xml:space="preserve"> respect to 1kW (as outlined in the groundwave signal strength section), it is possible to approximate the expected </w:t>
      </w:r>
      <w:r w:rsidR="00CD6397">
        <w:t xml:space="preserve">skywave </w:t>
      </w:r>
      <w:r>
        <w:t>signal</w:t>
      </w:r>
      <w:r w:rsidR="00CD6397">
        <w:t xml:space="preserve"> by adjusting the value from the curve.</w:t>
      </w:r>
    </w:p>
    <w:p w14:paraId="4A353C49" w14:textId="5B36B807" w:rsidR="00215025" w:rsidRDefault="00FC41B4" w:rsidP="0045328E">
      <w:pPr>
        <w:pStyle w:val="BodyText"/>
      </w:pPr>
      <w:r>
        <w:t xml:space="preserve">From calculation, </w:t>
      </w:r>
      <w:r w:rsidR="00215025">
        <w:t xml:space="preserve">the skywave signal strength for </w:t>
      </w:r>
      <w:r>
        <w:t>Flamborough Head</w:t>
      </w:r>
      <w:r w:rsidR="00215025">
        <w:t xml:space="preserve"> at the test location is </w:t>
      </w:r>
      <w:r w:rsidR="001D481E">
        <w:t>23dB</w:t>
      </w:r>
      <w:r w:rsidR="001D481E" w:rsidRPr="001D481E">
        <w:rPr>
          <w:rFonts w:ascii="Symbol" w:hAnsi="Symbol"/>
        </w:rPr>
        <w:t></w:t>
      </w:r>
      <w:r>
        <w:t xml:space="preserve">V/m (95%).   </w:t>
      </w:r>
      <w:r w:rsidR="00F104C5">
        <w:t>By</w:t>
      </w:r>
      <w:r>
        <w:t xml:space="preserve"> </w:t>
      </w:r>
      <w:r w:rsidR="00F104C5">
        <w:t>recalling</w:t>
      </w:r>
      <w:r>
        <w:t xml:space="preserve"> that </w:t>
      </w:r>
      <w:r w:rsidR="00F104C5">
        <w:t>Flamborough Head transmits</w:t>
      </w:r>
      <w:r>
        <w:t xml:space="preserve"> -23dB w.r.t. the 1kW curve and reading</w:t>
      </w:r>
      <w:r w:rsidR="00F104C5">
        <w:t xml:space="preserve"> from the graph (</w:t>
      </w:r>
      <w:r w:rsidR="00FA2DDD">
        <w:fldChar w:fldCharType="begin"/>
      </w:r>
      <w:r w:rsidR="00FA2DDD">
        <w:instrText xml:space="preserve"> REF _Ref459644820 \h </w:instrText>
      </w:r>
      <w:r w:rsidR="00FA2DDD">
        <w:fldChar w:fldCharType="separate"/>
      </w:r>
      <w:r w:rsidR="00FA2DDD">
        <w:t xml:space="preserve">Figure </w:t>
      </w:r>
      <w:r w:rsidR="00FA2DDD">
        <w:rPr>
          <w:noProof/>
        </w:rPr>
        <w:t>3</w:t>
      </w:r>
      <w:r w:rsidR="00FA2DDD">
        <w:fldChar w:fldCharType="end"/>
      </w:r>
      <w:r w:rsidR="00F104C5">
        <w:t>)</w:t>
      </w:r>
      <w:r>
        <w:t xml:space="preserve"> that at a range of 137km, the 95% skywave plot indicates a signal strength of approximately 43dB, Flamborough DGPS </w:t>
      </w:r>
      <w:r w:rsidR="00CD6397">
        <w:t xml:space="preserve">skywave </w:t>
      </w:r>
      <w:r>
        <w:t>signal strength</w:t>
      </w:r>
      <w:r w:rsidR="00CD6397">
        <w:t xml:space="preserve"> </w:t>
      </w:r>
      <w:r w:rsidR="00F104C5">
        <w:t xml:space="preserve">at the test location </w:t>
      </w:r>
      <w:r>
        <w:t>can be estimated as 20</w:t>
      </w:r>
      <w:r w:rsidR="001A00FD">
        <w:t xml:space="preserve">dBµV/m </w:t>
      </w:r>
      <w:r>
        <w:t>.</w:t>
      </w:r>
    </w:p>
    <w:p w14:paraId="77569681" w14:textId="77777777" w:rsidR="00FC41B4" w:rsidRDefault="00FC41B4" w:rsidP="0045328E">
      <w:pPr>
        <w:pStyle w:val="BodyText"/>
      </w:pPr>
      <w:r>
        <w:t xml:space="preserve">It should be noted that the calculation should be used when calculating </w:t>
      </w:r>
      <w:r w:rsidR="00F104C5">
        <w:t>coverage;</w:t>
      </w:r>
      <w:r>
        <w:t xml:space="preserve"> however</w:t>
      </w:r>
      <w:r w:rsidR="00F104C5">
        <w:t>,</w:t>
      </w:r>
      <w:r>
        <w:t xml:space="preserve"> the curves provide a quick approximation.</w:t>
      </w:r>
    </w:p>
    <w:p w14:paraId="4FD8D8D6" w14:textId="77777777" w:rsidR="00215025" w:rsidRPr="00215025" w:rsidRDefault="00215025" w:rsidP="00215025"/>
    <w:p w14:paraId="4D035AE4" w14:textId="77777777" w:rsidR="00DC05B8" w:rsidRDefault="00965860" w:rsidP="00CC4F0F">
      <w:pPr>
        <w:pStyle w:val="Heading2"/>
      </w:pPr>
      <w:bookmarkStart w:id="39" w:name="_Toc462254361"/>
      <w:r>
        <w:t>Self-fading</w:t>
      </w:r>
      <w:bookmarkEnd w:id="39"/>
    </w:p>
    <w:p w14:paraId="14C2ABCE" w14:textId="77777777" w:rsidR="00DC05B8" w:rsidRDefault="00DC05B8" w:rsidP="00DC05B8">
      <w:pPr>
        <w:pStyle w:val="Heading2separationline"/>
      </w:pPr>
    </w:p>
    <w:p w14:paraId="0B45C28C" w14:textId="77777777" w:rsidR="000D266A" w:rsidRDefault="00015649" w:rsidP="00DC05B8">
      <w:pPr>
        <w:pStyle w:val="BodyText"/>
      </w:pPr>
      <w:r>
        <w:t>Noting that</w:t>
      </w:r>
      <w:r w:rsidR="008F0384">
        <w:t xml:space="preserve"> the groundwave and skywave signal st</w:t>
      </w:r>
      <w:r w:rsidR="00FC34D7">
        <w:t>rength</w:t>
      </w:r>
      <w:r>
        <w:t>s</w:t>
      </w:r>
      <w:r w:rsidR="00FC34D7">
        <w:t xml:space="preserve"> calculated for Flamborough Head DGPS station are 43</w:t>
      </w:r>
      <w:r w:rsidR="001A00FD">
        <w:t xml:space="preserve">dBµV/m </w:t>
      </w:r>
      <w:r w:rsidR="00FC34D7">
        <w:t>and 23</w:t>
      </w:r>
      <w:r w:rsidR="001A00FD">
        <w:t xml:space="preserve">dBµV/m </w:t>
      </w:r>
      <w:r>
        <w:t xml:space="preserve">respectively, </w:t>
      </w:r>
      <w:r w:rsidR="00FC34D7">
        <w:t xml:space="preserve">a Sky-to-Groundwave ratio of </w:t>
      </w:r>
      <w:r>
        <w:t xml:space="preserve">-20dB is calculated.  Following the process outline in </w:t>
      </w:r>
      <w:r w:rsidR="00FA2DDD">
        <w:t xml:space="preserve">Section </w:t>
      </w:r>
      <w:r w:rsidR="00FA2DDD">
        <w:fldChar w:fldCharType="begin"/>
      </w:r>
      <w:r w:rsidR="00FA2DDD">
        <w:instrText xml:space="preserve"> REF _Ref459644998 \r \h </w:instrText>
      </w:r>
      <w:r w:rsidR="00FA2DDD">
        <w:fldChar w:fldCharType="separate"/>
      </w:r>
      <w:r w:rsidR="00FA2DDD">
        <w:t>3.3</w:t>
      </w:r>
      <w:r w:rsidR="00FA2DDD">
        <w:fldChar w:fldCharType="end"/>
      </w:r>
      <w:r>
        <w:t>, this means that</w:t>
      </w:r>
      <w:r w:rsidR="00DC3139">
        <w:t xml:space="preserve"> the resulting signal strength is the groundwave signal strength added to the skywave fading term F</w:t>
      </w:r>
      <w:r w:rsidR="00DC3139" w:rsidRPr="00DC3139">
        <w:rPr>
          <w:vertAlign w:val="subscript"/>
        </w:rPr>
        <w:t>3</w:t>
      </w:r>
      <w:r w:rsidR="00DC3139">
        <w:t xml:space="preserve">. </w:t>
      </w:r>
    </w:p>
    <w:p w14:paraId="0E453DFE" w14:textId="77777777" w:rsidR="00015649" w:rsidRDefault="00015649" w:rsidP="00DC05B8">
      <w:pPr>
        <w:pStyle w:val="BodyText"/>
      </w:pPr>
      <w:r>
        <w:t>Where F</w:t>
      </w:r>
      <w:r w:rsidRPr="00DC3139">
        <w:rPr>
          <w:vertAlign w:val="subscript"/>
        </w:rPr>
        <w:t>3</w:t>
      </w:r>
      <w:r>
        <w:t xml:space="preserve"> is given by: </w:t>
      </w:r>
    </w:p>
    <w:p w14:paraId="1167F78B" w14:textId="77777777" w:rsidR="00015649" w:rsidRDefault="00015649" w:rsidP="00DC05B8">
      <w:pPr>
        <w:pStyle w:val="BodyText"/>
      </w:pPr>
      <w:r>
        <w:rPr>
          <w:position w:val="-12"/>
        </w:rPr>
        <w:object w:dxaOrig="6060" w:dyaOrig="380" w14:anchorId="41CF8F98">
          <v:shape id="_x0000_i1033" type="#_x0000_t75" style="width:303.4pt;height:19.5pt" o:ole="">
            <v:imagedata r:id="rId28" o:title=""/>
          </v:shape>
          <o:OLEObject Type="Embed" ProgID="Equation.DSMT4" ShapeID="_x0000_i1033" DrawAspect="Content" ObjectID="_1536239098" r:id="rId45"/>
        </w:object>
      </w:r>
    </w:p>
    <w:p w14:paraId="5C9040CC" w14:textId="77777777" w:rsidR="00DC3139" w:rsidRDefault="00DC3139" w:rsidP="00DC05B8">
      <w:pPr>
        <w:pStyle w:val="BodyText"/>
      </w:pPr>
      <w:r>
        <w:t>Resulting in a fading term of -1.37.</w:t>
      </w:r>
    </w:p>
    <w:p w14:paraId="2512BFE2" w14:textId="77777777" w:rsidR="00FC34D7" w:rsidRDefault="00145353" w:rsidP="00DC05B8">
      <w:pPr>
        <w:pStyle w:val="BodyText"/>
      </w:pPr>
      <w:r>
        <w:lastRenderedPageBreak/>
        <w:t>Therefore,</w:t>
      </w:r>
      <w:r w:rsidR="00DC3139">
        <w:t xml:space="preserve"> the </w:t>
      </w:r>
      <w:r w:rsidR="00015649">
        <w:t>resulting signal strength</w:t>
      </w:r>
      <w:r w:rsidR="00DC3139">
        <w:t xml:space="preserve"> for Flamborough Head at the test location is 41.7 </w:t>
      </w:r>
      <w:r w:rsidR="0021334B">
        <w:t>dBµV/m</w:t>
      </w:r>
      <w:r w:rsidR="00DC3139">
        <w:t xml:space="preserve">. </w:t>
      </w:r>
    </w:p>
    <w:p w14:paraId="5B57F88C" w14:textId="77777777" w:rsidR="000D266A" w:rsidRPr="00DC05B8" w:rsidRDefault="000D266A" w:rsidP="00DC05B8">
      <w:pPr>
        <w:pStyle w:val="BodyText"/>
      </w:pPr>
    </w:p>
    <w:p w14:paraId="58E6FC95" w14:textId="77777777" w:rsidR="009131D2" w:rsidRDefault="00965860" w:rsidP="00CC4F0F">
      <w:pPr>
        <w:pStyle w:val="Heading2"/>
      </w:pPr>
      <w:bookmarkStart w:id="40" w:name="_Toc462254362"/>
      <w:r>
        <w:t>Atmospheric noise</w:t>
      </w:r>
      <w:bookmarkEnd w:id="40"/>
    </w:p>
    <w:p w14:paraId="3074C549" w14:textId="77777777" w:rsidR="009131D2" w:rsidRDefault="009131D2" w:rsidP="009131D2">
      <w:pPr>
        <w:pStyle w:val="Heading2separationline"/>
      </w:pPr>
    </w:p>
    <w:p w14:paraId="0AC13D3E" w14:textId="77777777" w:rsidR="00145353" w:rsidRDefault="00145353" w:rsidP="009131D2">
      <w:pPr>
        <w:pStyle w:val="BodyText"/>
      </w:pPr>
      <w:r>
        <w:t xml:space="preserve">By interpolating the figures given in </w:t>
      </w:r>
      <w:r w:rsidR="00FA2DDD">
        <w:fldChar w:fldCharType="begin"/>
      </w:r>
      <w:r w:rsidR="00FA2DDD">
        <w:instrText xml:space="preserve"> REF _Ref459644502 \h </w:instrText>
      </w:r>
      <w:r w:rsidR="00FA2DDD">
        <w:fldChar w:fldCharType="separate"/>
      </w:r>
      <w:r w:rsidR="00FA2DDD">
        <w:t xml:space="preserve">Table </w:t>
      </w:r>
      <w:r w:rsidR="00FA2DDD">
        <w:rPr>
          <w:noProof/>
        </w:rPr>
        <w:t>1</w:t>
      </w:r>
      <w:r w:rsidR="00FA2DDD">
        <w:fldChar w:fldCharType="end"/>
      </w:r>
      <w:r w:rsidR="00FA2DDD">
        <w:t xml:space="preserve"> </w:t>
      </w:r>
      <w:r>
        <w:t>around the test location, an annual average atmospheric noise figure of 8.5dB is calculated.</w:t>
      </w:r>
    </w:p>
    <w:p w14:paraId="32571E15" w14:textId="77777777" w:rsidR="00E1246E" w:rsidRDefault="00145353" w:rsidP="009131D2">
      <w:pPr>
        <w:pStyle w:val="BodyText"/>
      </w:pPr>
      <w:r>
        <w:t xml:space="preserve"> </w:t>
      </w:r>
    </w:p>
    <w:p w14:paraId="5329EC10" w14:textId="77777777" w:rsidR="009131D2" w:rsidRDefault="00965860" w:rsidP="009131D2">
      <w:pPr>
        <w:pStyle w:val="Heading2"/>
      </w:pPr>
      <w:bookmarkStart w:id="41" w:name="_Toc462254363"/>
      <w:r>
        <w:t>Interference</w:t>
      </w:r>
      <w:bookmarkEnd w:id="41"/>
    </w:p>
    <w:p w14:paraId="0A51F2E3" w14:textId="77777777" w:rsidR="00A91112" w:rsidRDefault="00A91112" w:rsidP="00A91112">
      <w:pPr>
        <w:pStyle w:val="Heading2separationline"/>
      </w:pPr>
    </w:p>
    <w:p w14:paraId="04DFB67A" w14:textId="77777777" w:rsidR="00A91112" w:rsidRDefault="00A91112" w:rsidP="00A91112">
      <w:pPr>
        <w:pStyle w:val="BodyText"/>
      </w:pPr>
      <w:r>
        <w:t xml:space="preserve">As outlined in Section </w:t>
      </w:r>
      <w:r w:rsidR="00FA2DDD">
        <w:fldChar w:fldCharType="begin"/>
      </w:r>
      <w:r w:rsidR="00FA2DDD">
        <w:instrText xml:space="preserve"> REF _Ref459645019 \r \h </w:instrText>
      </w:r>
      <w:r w:rsidR="00FA2DDD">
        <w:fldChar w:fldCharType="separate"/>
      </w:r>
      <w:r w:rsidR="00FA2DDD">
        <w:t>3.5</w:t>
      </w:r>
      <w:r w:rsidR="00FA2DDD">
        <w:fldChar w:fldCharType="end"/>
      </w:r>
      <w:r>
        <w:t xml:space="preserve">, any other transmission in the band </w:t>
      </w:r>
      <w:proofErr w:type="gramStart"/>
      <w:r>
        <w:t>is considered</w:t>
      </w:r>
      <w:proofErr w:type="gramEnd"/>
      <w:r>
        <w:t xml:space="preserve"> a potential source of interference.  In the worked example, </w:t>
      </w:r>
      <w:r w:rsidR="009518B2">
        <w:t xml:space="preserve">Blavandshuk </w:t>
      </w:r>
      <w:r w:rsidR="00D359E3">
        <w:t>DGPS</w:t>
      </w:r>
      <w:r>
        <w:t xml:space="preserve"> is considered as a potential groundwave interferer while </w:t>
      </w:r>
      <w:r w:rsidR="00D359E3">
        <w:t>Kokkola</w:t>
      </w:r>
      <w:r>
        <w:t xml:space="preserve"> is considered as a potential skywave interference source.</w:t>
      </w:r>
    </w:p>
    <w:p w14:paraId="156808CA" w14:textId="77777777" w:rsidR="00A91112" w:rsidRDefault="00A91112" w:rsidP="00A91112">
      <w:pPr>
        <w:pStyle w:val="BodyText"/>
      </w:pPr>
      <w:r>
        <w:t xml:space="preserve">Using the approaches outlined in Sections </w:t>
      </w:r>
      <w:r w:rsidR="00FA2DDD">
        <w:fldChar w:fldCharType="begin"/>
      </w:r>
      <w:r w:rsidR="00FA2DDD">
        <w:instrText xml:space="preserve"> REF _Ref459645031 \r \h </w:instrText>
      </w:r>
      <w:r w:rsidR="00FA2DDD">
        <w:fldChar w:fldCharType="separate"/>
      </w:r>
      <w:r w:rsidR="00FA2DDD">
        <w:t>5.1</w:t>
      </w:r>
      <w:r w:rsidR="00FA2DDD">
        <w:fldChar w:fldCharType="end"/>
      </w:r>
      <w:r w:rsidR="00FA2DDD">
        <w:t xml:space="preserve"> </w:t>
      </w:r>
      <w:r>
        <w:t xml:space="preserve">and </w:t>
      </w:r>
      <w:r w:rsidR="00FA2DDD">
        <w:fldChar w:fldCharType="begin"/>
      </w:r>
      <w:r w:rsidR="00FA2DDD">
        <w:instrText xml:space="preserve"> REF _Ref459645039 \r \h </w:instrText>
      </w:r>
      <w:r w:rsidR="00FA2DDD">
        <w:fldChar w:fldCharType="separate"/>
      </w:r>
      <w:r w:rsidR="00FA2DDD">
        <w:t>5.2</w:t>
      </w:r>
      <w:r w:rsidR="00FA2DDD">
        <w:fldChar w:fldCharType="end"/>
      </w:r>
      <w:r>
        <w:t>, the signals strengths</w:t>
      </w:r>
      <w:r w:rsidR="00FA2DDD">
        <w:t xml:space="preserve"> shown in </w:t>
      </w:r>
      <w:r w:rsidR="00FA2DDD">
        <w:fldChar w:fldCharType="begin"/>
      </w:r>
      <w:r w:rsidR="00FA2DDD">
        <w:instrText xml:space="preserve"> REF _Ref459644887 \h </w:instrText>
      </w:r>
      <w:r w:rsidR="00FA2DDD">
        <w:fldChar w:fldCharType="separate"/>
      </w:r>
      <w:r w:rsidR="00FA2DDD">
        <w:t xml:space="preserve">Table </w:t>
      </w:r>
      <w:r w:rsidR="00FA2DDD">
        <w:rPr>
          <w:noProof/>
        </w:rPr>
        <w:t>5</w:t>
      </w:r>
      <w:r w:rsidR="00FA2DDD">
        <w:fldChar w:fldCharType="end"/>
      </w:r>
      <w:r w:rsidR="00FA2DDD">
        <w:t xml:space="preserve"> </w:t>
      </w:r>
      <w:proofErr w:type="gramStart"/>
      <w:r>
        <w:t>were calculated</w:t>
      </w:r>
      <w:proofErr w:type="gramEnd"/>
      <w:r>
        <w:t xml:space="preserve">, noting that the groundwave signal from </w:t>
      </w:r>
      <w:r w:rsidR="009518B2">
        <w:t xml:space="preserve">Blavandshuk </w:t>
      </w:r>
      <w:r w:rsidR="00D359E3">
        <w:t>is all seawater.</w:t>
      </w:r>
    </w:p>
    <w:p w14:paraId="5325F623" w14:textId="77777777" w:rsidR="008F2A22" w:rsidRDefault="008F2A22" w:rsidP="008F2A22">
      <w:pPr>
        <w:pStyle w:val="Caption"/>
        <w:keepNext/>
        <w:jc w:val="center"/>
      </w:pPr>
      <w:bookmarkStart w:id="42" w:name="_Ref459644887"/>
      <w:bookmarkStart w:id="43" w:name="_Toc462254375"/>
      <w:r>
        <w:t xml:space="preserve">Table </w:t>
      </w:r>
      <w:r>
        <w:fldChar w:fldCharType="begin"/>
      </w:r>
      <w:r>
        <w:instrText xml:space="preserve"> SEQ Table \* ARABIC </w:instrText>
      </w:r>
      <w:r>
        <w:fldChar w:fldCharType="separate"/>
      </w:r>
      <w:r>
        <w:rPr>
          <w:noProof/>
        </w:rPr>
        <w:t>5</w:t>
      </w:r>
      <w:r>
        <w:fldChar w:fldCharType="end"/>
      </w:r>
      <w:bookmarkEnd w:id="42"/>
      <w:r>
        <w:t>: Range and calculated signal strengths for the potential interference sources</w:t>
      </w:r>
      <w:bookmarkEnd w:id="43"/>
    </w:p>
    <w:tbl>
      <w:tblPr>
        <w:tblStyle w:val="TableGrid"/>
        <w:tblW w:w="0" w:type="auto"/>
        <w:tblInd w:w="1555" w:type="dxa"/>
        <w:tblLook w:val="04A0" w:firstRow="1" w:lastRow="0" w:firstColumn="1" w:lastColumn="0" w:noHBand="0" w:noVBand="1"/>
      </w:tblPr>
      <w:tblGrid>
        <w:gridCol w:w="1557"/>
        <w:gridCol w:w="2270"/>
        <w:gridCol w:w="1559"/>
        <w:gridCol w:w="1276"/>
      </w:tblGrid>
      <w:tr w:rsidR="00D359E3" w14:paraId="301CA3B1" w14:textId="77777777" w:rsidTr="00406055">
        <w:tc>
          <w:tcPr>
            <w:tcW w:w="1557" w:type="dxa"/>
          </w:tcPr>
          <w:p w14:paraId="726084DD" w14:textId="77777777" w:rsidR="00D359E3" w:rsidRDefault="00D359E3" w:rsidP="00A91112">
            <w:pPr>
              <w:pStyle w:val="BodyText"/>
            </w:pPr>
            <w:r>
              <w:t>Station</w:t>
            </w:r>
          </w:p>
        </w:tc>
        <w:tc>
          <w:tcPr>
            <w:tcW w:w="2270" w:type="dxa"/>
          </w:tcPr>
          <w:p w14:paraId="7BD5FE8E" w14:textId="77777777" w:rsidR="00D359E3" w:rsidRDefault="00D359E3" w:rsidP="00A91112">
            <w:pPr>
              <w:pStyle w:val="BodyText"/>
            </w:pPr>
            <w:r>
              <w:t>Approximate distance to test point</w:t>
            </w:r>
            <w:r w:rsidR="003E1A8A">
              <w:t xml:space="preserve"> (Km)</w:t>
            </w:r>
          </w:p>
        </w:tc>
        <w:tc>
          <w:tcPr>
            <w:tcW w:w="1559" w:type="dxa"/>
          </w:tcPr>
          <w:p w14:paraId="5B93798E" w14:textId="77777777" w:rsidR="00D359E3" w:rsidRDefault="00D359E3" w:rsidP="00A91112">
            <w:pPr>
              <w:pStyle w:val="BodyText"/>
            </w:pPr>
            <w:r>
              <w:t>Groundwave (</w:t>
            </w:r>
            <w:r w:rsidR="001A00FD">
              <w:t xml:space="preserve">dBµV/m </w:t>
            </w:r>
            <w:r>
              <w:t>)</w:t>
            </w:r>
          </w:p>
        </w:tc>
        <w:tc>
          <w:tcPr>
            <w:tcW w:w="1276" w:type="dxa"/>
          </w:tcPr>
          <w:p w14:paraId="43AB330C" w14:textId="77777777" w:rsidR="00D359E3" w:rsidRDefault="00D359E3" w:rsidP="003E1A8A">
            <w:pPr>
              <w:pStyle w:val="BodyText"/>
              <w:spacing w:after="0" w:line="240" w:lineRule="auto"/>
            </w:pPr>
            <w:r>
              <w:t>Skywave</w:t>
            </w:r>
          </w:p>
          <w:p w14:paraId="19D233DF" w14:textId="77777777" w:rsidR="00D359E3" w:rsidRDefault="00D359E3" w:rsidP="003E1A8A">
            <w:pPr>
              <w:pStyle w:val="BodyText"/>
              <w:spacing w:after="0" w:line="240" w:lineRule="auto"/>
            </w:pPr>
            <w:r>
              <w:t>(</w:t>
            </w:r>
            <w:r w:rsidR="001A00FD">
              <w:t xml:space="preserve">dBµV/m </w:t>
            </w:r>
            <w:r>
              <w:t>)</w:t>
            </w:r>
          </w:p>
        </w:tc>
      </w:tr>
      <w:tr w:rsidR="00D359E3" w14:paraId="5FC8AFF9" w14:textId="77777777" w:rsidTr="00406055">
        <w:tc>
          <w:tcPr>
            <w:tcW w:w="1557" w:type="dxa"/>
          </w:tcPr>
          <w:p w14:paraId="55C0812F" w14:textId="77777777" w:rsidR="00D359E3" w:rsidRDefault="009518B2" w:rsidP="00A91112">
            <w:pPr>
              <w:pStyle w:val="BodyText"/>
            </w:pPr>
            <w:r>
              <w:t>Blavandshuk</w:t>
            </w:r>
          </w:p>
        </w:tc>
        <w:tc>
          <w:tcPr>
            <w:tcW w:w="2270" w:type="dxa"/>
          </w:tcPr>
          <w:p w14:paraId="5528D7A4" w14:textId="77777777" w:rsidR="00D359E3" w:rsidRDefault="003E1A8A" w:rsidP="00406055">
            <w:pPr>
              <w:pStyle w:val="BodyText"/>
              <w:jc w:val="center"/>
            </w:pPr>
            <w:r>
              <w:t>430</w:t>
            </w:r>
          </w:p>
        </w:tc>
        <w:tc>
          <w:tcPr>
            <w:tcW w:w="1559" w:type="dxa"/>
          </w:tcPr>
          <w:p w14:paraId="1AE59A2E" w14:textId="77777777" w:rsidR="00D359E3" w:rsidRDefault="00D359E3" w:rsidP="00406055">
            <w:pPr>
              <w:pStyle w:val="BodyText"/>
              <w:jc w:val="center"/>
            </w:pPr>
            <w:r>
              <w:t>4.7</w:t>
            </w:r>
          </w:p>
        </w:tc>
        <w:tc>
          <w:tcPr>
            <w:tcW w:w="1276" w:type="dxa"/>
          </w:tcPr>
          <w:p w14:paraId="755883E4" w14:textId="77777777" w:rsidR="00D359E3" w:rsidRDefault="00D359E3" w:rsidP="00406055">
            <w:pPr>
              <w:pStyle w:val="BodyText"/>
              <w:jc w:val="center"/>
            </w:pPr>
            <w:r>
              <w:t>N/A</w:t>
            </w:r>
          </w:p>
        </w:tc>
      </w:tr>
      <w:tr w:rsidR="00D359E3" w14:paraId="472228B2" w14:textId="77777777" w:rsidTr="00406055">
        <w:tc>
          <w:tcPr>
            <w:tcW w:w="1557" w:type="dxa"/>
          </w:tcPr>
          <w:p w14:paraId="3113BDE6" w14:textId="77777777" w:rsidR="00D359E3" w:rsidRDefault="00D359E3" w:rsidP="00A91112">
            <w:pPr>
              <w:pStyle w:val="BodyText"/>
            </w:pPr>
            <w:r>
              <w:t>Kokkola</w:t>
            </w:r>
          </w:p>
        </w:tc>
        <w:tc>
          <w:tcPr>
            <w:tcW w:w="2270" w:type="dxa"/>
          </w:tcPr>
          <w:p w14:paraId="5D68DD3F" w14:textId="77777777" w:rsidR="00D359E3" w:rsidRDefault="003E1A8A" w:rsidP="00406055">
            <w:pPr>
              <w:pStyle w:val="BodyText"/>
              <w:jc w:val="center"/>
            </w:pPr>
            <w:r>
              <w:t>1160</w:t>
            </w:r>
          </w:p>
        </w:tc>
        <w:tc>
          <w:tcPr>
            <w:tcW w:w="1559" w:type="dxa"/>
          </w:tcPr>
          <w:p w14:paraId="1AFC98AC" w14:textId="77777777" w:rsidR="00D359E3" w:rsidRDefault="00D359E3" w:rsidP="00406055">
            <w:pPr>
              <w:pStyle w:val="BodyText"/>
              <w:jc w:val="center"/>
            </w:pPr>
            <w:r>
              <w:t>N/A</w:t>
            </w:r>
          </w:p>
        </w:tc>
        <w:tc>
          <w:tcPr>
            <w:tcW w:w="1276" w:type="dxa"/>
          </w:tcPr>
          <w:p w14:paraId="6779CFB4" w14:textId="77777777" w:rsidR="00D359E3" w:rsidRDefault="00D359E3" w:rsidP="00406055">
            <w:pPr>
              <w:pStyle w:val="BodyText"/>
              <w:jc w:val="center"/>
            </w:pPr>
            <w:r>
              <w:t>17.8</w:t>
            </w:r>
          </w:p>
        </w:tc>
      </w:tr>
    </w:tbl>
    <w:p w14:paraId="04801B9F" w14:textId="77777777" w:rsidR="00D359E3" w:rsidRDefault="00D359E3" w:rsidP="00A91112">
      <w:pPr>
        <w:pStyle w:val="BodyText"/>
      </w:pPr>
    </w:p>
    <w:p w14:paraId="41B045E7" w14:textId="77777777" w:rsidR="009131D2" w:rsidRDefault="009131D2" w:rsidP="00A91112">
      <w:pPr>
        <w:pStyle w:val="Heading2"/>
        <w:numPr>
          <w:ilvl w:val="0"/>
          <w:numId w:val="0"/>
        </w:numPr>
        <w:ind w:left="851" w:hanging="851"/>
      </w:pPr>
    </w:p>
    <w:p w14:paraId="22769007" w14:textId="77777777" w:rsidR="009131D2" w:rsidRDefault="00965860" w:rsidP="00B35B70">
      <w:pPr>
        <w:pStyle w:val="Heading2"/>
      </w:pPr>
      <w:bookmarkStart w:id="44" w:name="_Toc462254364"/>
      <w:r>
        <w:t>Evaluation</w:t>
      </w:r>
      <w:bookmarkEnd w:id="44"/>
    </w:p>
    <w:p w14:paraId="39801F9B" w14:textId="77777777" w:rsidR="00B35B70" w:rsidRDefault="00B35B70" w:rsidP="00B35B70">
      <w:pPr>
        <w:pStyle w:val="Heading2separationline"/>
      </w:pPr>
    </w:p>
    <w:p w14:paraId="03494698" w14:textId="77777777" w:rsidR="009131D2" w:rsidRDefault="00406055" w:rsidP="009131D2">
      <w:pPr>
        <w:pStyle w:val="BodyText"/>
      </w:pPr>
      <w:r>
        <w:t>To be deemed within the coverage area, all of the conditions needed to receive the signal need to be met. This means that signal must meet the minimum receiver requirements and exceed any interference protection ratios.  If service providers include an accuracy limit, then this should be calculated in accordance with IALA Guideline 1112.</w:t>
      </w:r>
    </w:p>
    <w:p w14:paraId="2D25DB0F" w14:textId="77777777" w:rsidR="00B35B70" w:rsidRDefault="00B35B70" w:rsidP="009131D2">
      <w:pPr>
        <w:pStyle w:val="BodyText"/>
      </w:pPr>
      <w:r>
        <w:t>Therefore, at the test location, the following values are considered:</w:t>
      </w:r>
    </w:p>
    <w:p w14:paraId="20519DE1" w14:textId="38E11E28" w:rsidR="00B35B70" w:rsidRDefault="00B35B70" w:rsidP="003C5B97">
      <w:pPr>
        <w:pStyle w:val="BodyText"/>
        <w:numPr>
          <w:ilvl w:val="0"/>
          <w:numId w:val="43"/>
        </w:numPr>
        <w:spacing w:after="0" w:line="240" w:lineRule="auto"/>
        <w:ind w:left="714" w:hanging="357"/>
      </w:pPr>
      <w:r>
        <w:t>Wanted beacon</w:t>
      </w:r>
      <w:r w:rsidR="003C5B97">
        <w:t xml:space="preserve"> (Flamborough Head) </w:t>
      </w:r>
      <w:r>
        <w:t>groundwave signal</w:t>
      </w:r>
      <w:r w:rsidR="00406055">
        <w:t xml:space="preserve"> strength of</w:t>
      </w:r>
      <w:r w:rsidR="003C5B97">
        <w:t xml:space="preserve"> 43 </w:t>
      </w:r>
      <w:r w:rsidR="001A00FD">
        <w:t>dBµV/m</w:t>
      </w:r>
      <w:r w:rsidR="00D44BCE">
        <w:t>;</w:t>
      </w:r>
    </w:p>
    <w:p w14:paraId="76227988" w14:textId="2E48C603" w:rsidR="00B35B70" w:rsidRDefault="00B35B70" w:rsidP="003C5B97">
      <w:pPr>
        <w:pStyle w:val="BodyText"/>
        <w:numPr>
          <w:ilvl w:val="0"/>
          <w:numId w:val="43"/>
        </w:numPr>
        <w:spacing w:after="0" w:line="240" w:lineRule="auto"/>
        <w:ind w:left="714" w:hanging="357"/>
      </w:pPr>
      <w:r>
        <w:t xml:space="preserve">Wanted beacon </w:t>
      </w:r>
      <w:r w:rsidR="003C5B97">
        <w:t xml:space="preserve">(Flamborough Head) </w:t>
      </w:r>
      <w:r w:rsidR="00406055">
        <w:t>skywave signal strength of</w:t>
      </w:r>
      <w:r w:rsidR="003C5B97">
        <w:t xml:space="preserve"> 23 </w:t>
      </w:r>
      <w:r w:rsidR="00E9296D">
        <w:t>dBµV/m</w:t>
      </w:r>
      <w:r w:rsidR="00D44BCE">
        <w:t>;</w:t>
      </w:r>
    </w:p>
    <w:p w14:paraId="239D4A79" w14:textId="2F4EBFCC" w:rsidR="00B35B70" w:rsidRDefault="00B35B70" w:rsidP="003C5B97">
      <w:pPr>
        <w:pStyle w:val="BodyText"/>
        <w:numPr>
          <w:ilvl w:val="0"/>
          <w:numId w:val="43"/>
        </w:numPr>
        <w:spacing w:after="0" w:line="240" w:lineRule="auto"/>
        <w:ind w:left="714" w:hanging="357"/>
      </w:pPr>
      <w:r>
        <w:t xml:space="preserve">Wanted beacon </w:t>
      </w:r>
      <w:r w:rsidR="003C5B97">
        <w:t xml:space="preserve">(Flamborough Head) </w:t>
      </w:r>
      <w:r w:rsidR="00406055">
        <w:t>signal strength at night, taking into account self-fading, of</w:t>
      </w:r>
      <w:r w:rsidR="003C5B97">
        <w:t xml:space="preserve"> 41.7 </w:t>
      </w:r>
      <w:r w:rsidR="001A00FD">
        <w:t>dBµV/m</w:t>
      </w:r>
      <w:r w:rsidR="00D44BCE">
        <w:t>;</w:t>
      </w:r>
    </w:p>
    <w:p w14:paraId="643EC55E" w14:textId="7B20B1B9" w:rsidR="00B35B70" w:rsidRDefault="00406055" w:rsidP="003C5B97">
      <w:pPr>
        <w:pStyle w:val="BodyText"/>
        <w:numPr>
          <w:ilvl w:val="0"/>
          <w:numId w:val="43"/>
        </w:numPr>
        <w:spacing w:after="0" w:line="240" w:lineRule="auto"/>
        <w:ind w:left="714" w:hanging="357"/>
      </w:pPr>
      <w:r>
        <w:t>Calculated a</w:t>
      </w:r>
      <w:r w:rsidR="00B35B70">
        <w:t>tmospheric noise</w:t>
      </w:r>
      <w:r>
        <w:t xml:space="preserve"> level of </w:t>
      </w:r>
      <w:r w:rsidR="003C5B97">
        <w:t>8.5</w:t>
      </w:r>
      <w:r w:rsidR="00D44BCE">
        <w:t xml:space="preserve"> </w:t>
      </w:r>
      <w:r w:rsidR="001A00FD">
        <w:t>dBµV/m</w:t>
      </w:r>
      <w:r w:rsidR="00D44BCE">
        <w:t>;</w:t>
      </w:r>
    </w:p>
    <w:p w14:paraId="572696F1" w14:textId="251BBAC7" w:rsidR="00B35B70" w:rsidRDefault="00B35B70" w:rsidP="003C5B97">
      <w:pPr>
        <w:pStyle w:val="BodyText"/>
        <w:numPr>
          <w:ilvl w:val="0"/>
          <w:numId w:val="43"/>
        </w:numPr>
        <w:spacing w:after="0" w:line="240" w:lineRule="auto"/>
        <w:ind w:left="714" w:hanging="357"/>
      </w:pPr>
      <w:r>
        <w:t>Potent</w:t>
      </w:r>
      <w:r w:rsidR="003C5B97">
        <w:t xml:space="preserve">ial interference from </w:t>
      </w:r>
      <w:r w:rsidR="009518B2">
        <w:t>Blavandshuk</w:t>
      </w:r>
      <w:r w:rsidR="00D44BCE">
        <w:t xml:space="preserve">, with a groundwave signal strength of </w:t>
      </w:r>
      <w:r w:rsidR="003C5B97">
        <w:t>4.7</w:t>
      </w:r>
      <w:r w:rsidR="00D44BCE">
        <w:t xml:space="preserve"> </w:t>
      </w:r>
      <w:r w:rsidR="001A00FD">
        <w:t>dBµV/m</w:t>
      </w:r>
      <w:r w:rsidR="00D44BCE">
        <w:t>; and</w:t>
      </w:r>
    </w:p>
    <w:p w14:paraId="7E7975B0" w14:textId="1A5E0CBF" w:rsidR="00B35B70" w:rsidRDefault="00B35B70" w:rsidP="003C5B97">
      <w:pPr>
        <w:pStyle w:val="BodyText"/>
        <w:numPr>
          <w:ilvl w:val="0"/>
          <w:numId w:val="43"/>
        </w:numPr>
        <w:spacing w:after="0" w:line="240" w:lineRule="auto"/>
        <w:ind w:left="714" w:hanging="357"/>
      </w:pPr>
      <w:r>
        <w:t xml:space="preserve">Potential </w:t>
      </w:r>
      <w:r w:rsidR="003C5B97">
        <w:t>interference from Kokkola</w:t>
      </w:r>
      <w:r w:rsidR="00D44BCE">
        <w:t>, with a skywave signal strength of</w:t>
      </w:r>
      <w:r w:rsidR="003C5B97">
        <w:t xml:space="preserve"> 17.8</w:t>
      </w:r>
      <w:r w:rsidR="00D44BCE">
        <w:t xml:space="preserve"> </w:t>
      </w:r>
      <w:r w:rsidR="001A00FD">
        <w:t>dBµV/m</w:t>
      </w:r>
      <w:r w:rsidR="00D44BCE">
        <w:t>.</w:t>
      </w:r>
    </w:p>
    <w:p w14:paraId="14A4CE7C" w14:textId="77777777" w:rsidR="003C5B97" w:rsidRDefault="003C5B97" w:rsidP="009131D2">
      <w:pPr>
        <w:pStyle w:val="BodyText"/>
      </w:pPr>
    </w:p>
    <w:p w14:paraId="1192341B" w14:textId="77777777" w:rsidR="00B35B70" w:rsidRDefault="003C5B97" w:rsidP="009131D2">
      <w:pPr>
        <w:pStyle w:val="BodyText"/>
      </w:pPr>
      <w:r>
        <w:t xml:space="preserve">Without considering interference, the signal from Flamborough </w:t>
      </w:r>
      <w:r w:rsidR="00D44BCE">
        <w:t xml:space="preserve">head by day and night </w:t>
      </w:r>
      <w:r>
        <w:t>exceeds the receiver signal floor of 20dB</w:t>
      </w:r>
      <w:r w:rsidR="0045328E">
        <w:t>µV/m</w:t>
      </w:r>
      <w:r w:rsidR="00B35B70">
        <w:t xml:space="preserve">.  The signal to (atmospheric) noise ratio is </w:t>
      </w:r>
      <w:r w:rsidR="00D44BCE">
        <w:t>34.5</w:t>
      </w:r>
      <w:r>
        <w:t>dB</w:t>
      </w:r>
      <w:r w:rsidR="00D44BCE">
        <w:t xml:space="preserve"> – 33.2dB depending on day and night conditions, both </w:t>
      </w:r>
      <w:r w:rsidR="00B35B70">
        <w:t>exceed</w:t>
      </w:r>
      <w:r w:rsidR="00D44BCE">
        <w:t xml:space="preserve"> the minimum SNR or 7dB.  This means</w:t>
      </w:r>
      <w:r>
        <w:t xml:space="preserve"> that in the absence of any interference, a maritime receiver would be able to track the si</w:t>
      </w:r>
      <w:r w:rsidR="00D44BCE">
        <w:t>gnal and decode the information from Flamborough head at this location by day and by night.</w:t>
      </w:r>
    </w:p>
    <w:p w14:paraId="30E5A71B" w14:textId="77777777" w:rsidR="003C5B97" w:rsidRDefault="00D44BCE" w:rsidP="009131D2">
      <w:pPr>
        <w:pStyle w:val="BodyText"/>
      </w:pPr>
      <w:r>
        <w:t xml:space="preserve">When calculating interference by day, </w:t>
      </w:r>
      <w:r w:rsidR="003C5B97">
        <w:t>only</w:t>
      </w:r>
      <w:r>
        <w:t xml:space="preserve"> the effect of </w:t>
      </w:r>
      <w:r w:rsidR="003C5B97">
        <w:t>groundwave interference is considered.  In this example, only one potential groundwave interference source</w:t>
      </w:r>
      <w:r>
        <w:t xml:space="preserve"> was considered,</w:t>
      </w:r>
      <w:r w:rsidR="003C5B97">
        <w:t xml:space="preserve"> </w:t>
      </w:r>
      <w:r>
        <w:t xml:space="preserve">this is a simplification, there are </w:t>
      </w:r>
      <w:r w:rsidR="003C5B97">
        <w:t>likely to be many</w:t>
      </w:r>
      <w:r>
        <w:t xml:space="preserve">.  The </w:t>
      </w:r>
      <w:r w:rsidR="003C5B97">
        <w:t>number will be different depending on location and operating frequency</w:t>
      </w:r>
      <w:r>
        <w:t xml:space="preserve"> and it should be noted that the band is shared by DGPS, marine and aeronautical beacons</w:t>
      </w:r>
      <w:r w:rsidR="003C5B97">
        <w:t xml:space="preserve">.    When considering whether </w:t>
      </w:r>
      <w:r w:rsidR="009518B2">
        <w:t xml:space="preserve">Blavandshuk </w:t>
      </w:r>
      <w:r w:rsidR="003C5B97">
        <w:t xml:space="preserve">causes </w:t>
      </w:r>
      <w:r w:rsidR="003C5B97">
        <w:lastRenderedPageBreak/>
        <w:t xml:space="preserve">interference, the protection ratios outlined in </w:t>
      </w:r>
      <w:r w:rsidR="00D74C49">
        <w:fldChar w:fldCharType="begin"/>
      </w:r>
      <w:r w:rsidR="00D74C49">
        <w:instrText xml:space="preserve"> REF _Ref459644532 \h </w:instrText>
      </w:r>
      <w:r w:rsidR="00D74C49">
        <w:fldChar w:fldCharType="separate"/>
      </w:r>
      <w:r w:rsidR="00D74C49">
        <w:t xml:space="preserve">Table </w:t>
      </w:r>
      <w:r w:rsidR="00D74C49">
        <w:rPr>
          <w:noProof/>
        </w:rPr>
        <w:t>2</w:t>
      </w:r>
      <w:r w:rsidR="00D74C49">
        <w:fldChar w:fldCharType="end"/>
      </w:r>
      <w:r w:rsidR="003C5B97">
        <w:t xml:space="preserve"> need to </w:t>
      </w:r>
      <w:proofErr w:type="gramStart"/>
      <w:r w:rsidR="003C5B97">
        <w:t>be considered</w:t>
      </w:r>
      <w:proofErr w:type="gramEnd"/>
      <w:r w:rsidR="003C5B97">
        <w:t xml:space="preserve">.   </w:t>
      </w:r>
      <w:r w:rsidR="00D74C49">
        <w:t>500H</w:t>
      </w:r>
      <w:r w:rsidR="003C5B97">
        <w:t xml:space="preserve">z separates the transmissions of </w:t>
      </w:r>
      <w:r w:rsidR="009518B2">
        <w:t xml:space="preserve">Blavandshuk </w:t>
      </w:r>
      <w:r w:rsidR="003C5B97">
        <w:t xml:space="preserve">and Flamborough Head, meaning that the signal from Flamborough Head can be tracked even if it was 22dB weaker than that of </w:t>
      </w:r>
      <w:r w:rsidR="009518B2">
        <w:t>Blavandshuk</w:t>
      </w:r>
      <w:r w:rsidR="003C5B97">
        <w:t xml:space="preserve">.  In this example, the signal from Flamborough Head is </w:t>
      </w:r>
      <w:r w:rsidR="00113BC8">
        <w:t xml:space="preserve">significantly stronger and as such is not affected by the signal from </w:t>
      </w:r>
      <w:r w:rsidR="009518B2">
        <w:t>Blavandshuk</w:t>
      </w:r>
      <w:r w:rsidR="00113BC8">
        <w:t>.</w:t>
      </w:r>
      <w:r w:rsidR="003C5B97">
        <w:t xml:space="preserve">  </w:t>
      </w:r>
    </w:p>
    <w:p w14:paraId="75489298" w14:textId="77777777" w:rsidR="00113BC8" w:rsidRDefault="00645BBA" w:rsidP="009131D2">
      <w:pPr>
        <w:pStyle w:val="BodyText"/>
      </w:pPr>
      <w:r>
        <w:t xml:space="preserve">When considering </w:t>
      </w:r>
      <w:r w:rsidR="00113BC8">
        <w:t>interference at night</w:t>
      </w:r>
      <w:r>
        <w:t>, self-fadi</w:t>
      </w:r>
      <w:r w:rsidR="00113BC8">
        <w:t>ng and skywave interference</w:t>
      </w:r>
      <w:r>
        <w:t xml:space="preserve"> need to be considered</w:t>
      </w:r>
      <w:r w:rsidR="00113BC8">
        <w:t>, in addition to groundwave interference.   In general, the strongest component of any potential interference source is considered</w:t>
      </w:r>
      <w:r>
        <w:t xml:space="preserve">.  The </w:t>
      </w:r>
      <w:r w:rsidR="00113BC8">
        <w:t>signal from Flamborough Head at the test location at night is 41.7</w:t>
      </w:r>
      <w:r w:rsidR="002E5FD8">
        <w:t>dBµV/m</w:t>
      </w:r>
      <w:r>
        <w:t xml:space="preserve">.   The calculated signal strength for </w:t>
      </w:r>
      <w:r w:rsidR="00113BC8">
        <w:t>Kokkola is 17.8</w:t>
      </w:r>
      <w:r w:rsidR="002E5FD8">
        <w:t>dBµV/m</w:t>
      </w:r>
      <w:r>
        <w:t xml:space="preserve">.   The protection ratios require the wanted signal to be </w:t>
      </w:r>
      <w:r w:rsidR="00113BC8">
        <w:t xml:space="preserve">at least 15dB </w:t>
      </w:r>
      <w:r>
        <w:t xml:space="preserve">stronger than the interference source </w:t>
      </w:r>
      <w:r w:rsidR="00113BC8">
        <w:t>and in this case, that condition is met (41.7-17.8=23.9)</w:t>
      </w:r>
      <w:r>
        <w:t xml:space="preserve">.   </w:t>
      </w:r>
    </w:p>
    <w:p w14:paraId="7C2CBE9C" w14:textId="77777777" w:rsidR="00B35B70" w:rsidRPr="009131D2" w:rsidRDefault="00645BBA" w:rsidP="009131D2">
      <w:pPr>
        <w:pStyle w:val="BodyText"/>
      </w:pPr>
      <w:r>
        <w:t xml:space="preserve">As such, the test location is within the usable coverage area of </w:t>
      </w:r>
      <w:r w:rsidR="00113BC8">
        <w:t>Flamborough Head</w:t>
      </w:r>
      <w:r>
        <w:t xml:space="preserve"> DGPS station by day and by night. </w:t>
      </w:r>
      <w:r w:rsidR="00B35B70">
        <w:t xml:space="preserve"> </w:t>
      </w:r>
    </w:p>
    <w:p w14:paraId="5B996E5E" w14:textId="77777777" w:rsidR="009131D2" w:rsidRPr="009131D2" w:rsidRDefault="009131D2" w:rsidP="009131D2">
      <w:pPr>
        <w:pStyle w:val="BodyText"/>
      </w:pPr>
    </w:p>
    <w:p w14:paraId="282BE431" w14:textId="77777777" w:rsidR="009131D2" w:rsidRDefault="00965860" w:rsidP="008F0384">
      <w:pPr>
        <w:pStyle w:val="Heading1"/>
      </w:pPr>
      <w:bookmarkStart w:id="45" w:name="_Toc462254365"/>
      <w:r>
        <w:t>NOMINAL RANGE</w:t>
      </w:r>
      <w:bookmarkEnd w:id="45"/>
    </w:p>
    <w:p w14:paraId="36DDEFB0" w14:textId="77777777" w:rsidR="00A91112" w:rsidRDefault="00A91112" w:rsidP="00A91112">
      <w:pPr>
        <w:pStyle w:val="Heading2separationline"/>
      </w:pPr>
    </w:p>
    <w:p w14:paraId="7B40FC24" w14:textId="77777777" w:rsidR="009131D2" w:rsidRPr="00CC4F0F" w:rsidRDefault="009131D2" w:rsidP="009131D2">
      <w:pPr>
        <w:pStyle w:val="Heading2separationline"/>
      </w:pPr>
    </w:p>
    <w:p w14:paraId="0715DCAE" w14:textId="77777777" w:rsidR="00CC4F0F" w:rsidRDefault="00113BC8" w:rsidP="00CC4F0F">
      <w:pPr>
        <w:pStyle w:val="BodyText"/>
      </w:pPr>
      <w:r>
        <w:t>When undertaking maintenance on site, it is often necessary to confirm that a station is broadcasting at the appropriate signal strength, i.e. it conforms to the published nominal range.</w:t>
      </w:r>
    </w:p>
    <w:p w14:paraId="6CBFAC64" w14:textId="77777777" w:rsidR="00113BC8" w:rsidRDefault="00113BC8" w:rsidP="00CC4F0F">
      <w:pPr>
        <w:pStyle w:val="BodyText"/>
      </w:pPr>
      <w:r>
        <w:t xml:space="preserve">Using the approach outlined in </w:t>
      </w:r>
      <w:r w:rsidR="00FA2DDD">
        <w:t xml:space="preserve">Section </w:t>
      </w:r>
      <w:r w:rsidR="00FA2DDD">
        <w:fldChar w:fldCharType="begin"/>
      </w:r>
      <w:r w:rsidR="00FA2DDD">
        <w:instrText xml:space="preserve"> REF _Ref459645031 \r \h </w:instrText>
      </w:r>
      <w:r w:rsidR="00FA2DDD">
        <w:fldChar w:fldCharType="separate"/>
      </w:r>
      <w:r w:rsidR="00FA2DDD">
        <w:t>5.1</w:t>
      </w:r>
      <w:r w:rsidR="00FA2DDD">
        <w:fldChar w:fldCharType="end"/>
      </w:r>
      <w:r>
        <w:t>, it is possible to calculate the expected signal strength for a given test location, recommended to be around 30-50km from the station, along an all seawater path, if possible.  At this test location, the expected signal strength can be calculated and compared to the received signal strength, as measured by calibrated field strength meter or spectrum analyser</w:t>
      </w:r>
      <w:r w:rsidR="00FA2DDD">
        <w:t xml:space="preserve"> (see S</w:t>
      </w:r>
      <w:r>
        <w:t xml:space="preserve">ection </w:t>
      </w:r>
      <w:r w:rsidR="00FA2DDD">
        <w:fldChar w:fldCharType="begin"/>
      </w:r>
      <w:r w:rsidR="00FA2DDD">
        <w:instrText xml:space="preserve"> REF _Ref459645092 \r \h </w:instrText>
      </w:r>
      <w:r w:rsidR="00FA2DDD">
        <w:fldChar w:fldCharType="separate"/>
      </w:r>
      <w:r w:rsidR="00FA2DDD">
        <w:t>7</w:t>
      </w:r>
      <w:r w:rsidR="00FA2DDD">
        <w:fldChar w:fldCharType="end"/>
      </w:r>
      <w:r>
        <w:t>).</w:t>
      </w:r>
    </w:p>
    <w:p w14:paraId="1045667A" w14:textId="77777777" w:rsidR="00113BC8" w:rsidRDefault="00113BC8" w:rsidP="00CC4F0F">
      <w:pPr>
        <w:pStyle w:val="BodyText"/>
      </w:pPr>
      <w:r>
        <w:t xml:space="preserve">The transmitter signal strength can be varied to ensure the signal received at the test location is correct to achieve the nominal range. </w:t>
      </w:r>
    </w:p>
    <w:p w14:paraId="51790A65" w14:textId="77777777" w:rsidR="00113BC8" w:rsidRDefault="00113BC8" w:rsidP="00CC4F0F">
      <w:pPr>
        <w:pStyle w:val="BodyText"/>
      </w:pPr>
    </w:p>
    <w:p w14:paraId="2B90A7C0" w14:textId="77777777" w:rsidR="00F2451E" w:rsidRDefault="00965860" w:rsidP="00F2451E">
      <w:pPr>
        <w:pStyle w:val="Heading1"/>
      </w:pPr>
      <w:bookmarkStart w:id="46" w:name="_Toc462254366"/>
      <w:r>
        <w:t>IN-FIELD MEASUREMENTS</w:t>
      </w:r>
      <w:bookmarkEnd w:id="46"/>
    </w:p>
    <w:p w14:paraId="6780292B" w14:textId="77777777" w:rsidR="00F2451E" w:rsidRDefault="00F2451E" w:rsidP="00F2451E">
      <w:pPr>
        <w:pStyle w:val="Heading1separatationline"/>
      </w:pPr>
    </w:p>
    <w:p w14:paraId="3AB84E35" w14:textId="77777777" w:rsidR="00F2451E" w:rsidRPr="00F2451E" w:rsidRDefault="00F2451E" w:rsidP="00F2451E">
      <w:pPr>
        <w:pStyle w:val="BodyText"/>
      </w:pPr>
    </w:p>
    <w:p w14:paraId="4B9D1D32" w14:textId="77777777" w:rsidR="00F2451E" w:rsidRDefault="00965860" w:rsidP="00F2451E">
      <w:pPr>
        <w:pStyle w:val="Heading2"/>
      </w:pPr>
      <w:bookmarkStart w:id="47" w:name="_Toc462254367"/>
      <w:r>
        <w:t>Equipment</w:t>
      </w:r>
      <w:bookmarkEnd w:id="47"/>
    </w:p>
    <w:p w14:paraId="6575EE1D" w14:textId="77777777" w:rsidR="00F2451E" w:rsidRPr="00F2451E" w:rsidRDefault="00F2451E" w:rsidP="00F2451E">
      <w:pPr>
        <w:pStyle w:val="Heading2separationline"/>
      </w:pPr>
    </w:p>
    <w:p w14:paraId="783CBE66" w14:textId="77777777" w:rsidR="00F2451E" w:rsidRDefault="00F2451E" w:rsidP="00F2451E">
      <w:pPr>
        <w:pStyle w:val="BodyText"/>
      </w:pPr>
      <w:r>
        <w:t xml:space="preserve">The following equipment will be needed </w:t>
      </w:r>
      <w:r w:rsidR="002E5FD8">
        <w:t>to</w:t>
      </w:r>
      <w:r>
        <w:t xml:space="preserve"> measure marine beacon field strengths:</w:t>
      </w:r>
    </w:p>
    <w:p w14:paraId="4D615686" w14:textId="77777777" w:rsidR="00F2451E" w:rsidRDefault="00F2451E" w:rsidP="00F2451E">
      <w:pPr>
        <w:pStyle w:val="Bullet1"/>
      </w:pPr>
      <w:r>
        <w:t>field strength meter or spectrum analyser (calibrated)</w:t>
      </w:r>
    </w:p>
    <w:p w14:paraId="2A413C1B" w14:textId="77777777" w:rsidR="00F2451E" w:rsidRDefault="00F2451E" w:rsidP="00F2451E">
      <w:pPr>
        <w:pStyle w:val="Bullet1"/>
      </w:pPr>
      <w:r>
        <w:t>appropriate loop antenna (calibrated, if required) and tripod</w:t>
      </w:r>
    </w:p>
    <w:p w14:paraId="23ABA117" w14:textId="77777777" w:rsidR="00F2451E" w:rsidRDefault="00F2451E" w:rsidP="00F2451E">
      <w:pPr>
        <w:pStyle w:val="Bullet1"/>
      </w:pPr>
      <w:r>
        <w:t>marine beacon receiver</w:t>
      </w:r>
    </w:p>
    <w:p w14:paraId="0A4FBB90" w14:textId="77777777" w:rsidR="00F2451E" w:rsidRDefault="00F2451E" w:rsidP="00F2451E">
      <w:pPr>
        <w:pStyle w:val="Bullet1"/>
      </w:pPr>
      <w:r>
        <w:t>compass</w:t>
      </w:r>
    </w:p>
    <w:p w14:paraId="2FDB2C60" w14:textId="77777777" w:rsidR="00F2451E" w:rsidRDefault="002E5FD8" w:rsidP="00F2451E">
      <w:pPr>
        <w:pStyle w:val="Bullet1"/>
      </w:pPr>
      <w:r>
        <w:t xml:space="preserve">a </w:t>
      </w:r>
      <w:r w:rsidR="00F2451E">
        <w:t>map with general location of transmitter and measurement location.</w:t>
      </w:r>
    </w:p>
    <w:p w14:paraId="06422709" w14:textId="77777777" w:rsidR="00F2451E" w:rsidRDefault="00965860" w:rsidP="00F2451E">
      <w:pPr>
        <w:pStyle w:val="Heading2"/>
      </w:pPr>
      <w:bookmarkStart w:id="48" w:name="_Toc462254368"/>
      <w:r>
        <w:t>Measurement Process</w:t>
      </w:r>
      <w:bookmarkEnd w:id="48"/>
    </w:p>
    <w:p w14:paraId="32E034AD" w14:textId="77777777" w:rsidR="00F2451E" w:rsidRPr="00F2451E" w:rsidRDefault="00F2451E" w:rsidP="00F2451E">
      <w:pPr>
        <w:pStyle w:val="Heading2separationline"/>
      </w:pPr>
    </w:p>
    <w:p w14:paraId="5E51915C" w14:textId="77777777" w:rsidR="00F2451E" w:rsidRDefault="00F2451E" w:rsidP="00F2451E">
      <w:pPr>
        <w:pStyle w:val="BodyText"/>
      </w:pPr>
      <w:r>
        <w:t>At the selected measurement site, connect the field strength meter or spectrum analyser and configure to the correct frequency, bandwidth and attenuation, as required, to give a calibrated reading of the transmission of interest.</w:t>
      </w:r>
    </w:p>
    <w:p w14:paraId="3CD544EB" w14:textId="77777777" w:rsidR="00940DA5" w:rsidRDefault="00F2451E" w:rsidP="00F2451E">
      <w:pPr>
        <w:pStyle w:val="BodyText"/>
      </w:pPr>
      <w:r>
        <w:t xml:space="preserve">Then rotate the loop antenna so that the loop is aligned with the direction of the transmitter, using the compass </w:t>
      </w:r>
      <w:r w:rsidR="00645BBA">
        <w:t>(</w:t>
      </w:r>
      <w:r>
        <w:t>if required</w:t>
      </w:r>
      <w:r w:rsidR="00645BBA">
        <w:t>)</w:t>
      </w:r>
      <w:r>
        <w:t xml:space="preserve"> to get the correct bearing.  Check that when the loop antenna is then moved through 90 degrees the signal strength drops.  </w:t>
      </w:r>
    </w:p>
    <w:p w14:paraId="7A425F51" w14:textId="5CC1B9D2" w:rsidR="00F2451E" w:rsidRDefault="00F2451E" w:rsidP="00F2451E">
      <w:pPr>
        <w:pStyle w:val="BodyText"/>
      </w:pPr>
      <w:r>
        <w:lastRenderedPageBreak/>
        <w:t>Find the point where the signal strength falls to the lowers point (null) and then turn the antenna back through 90 degrees.  It should now be correctly a</w:t>
      </w:r>
      <w:r w:rsidR="002E5FD8">
        <w:t>ligned with the incoming signal and report the calibrated signal strength.</w:t>
      </w:r>
    </w:p>
    <w:p w14:paraId="5F4FB204" w14:textId="69352806" w:rsidR="00F2451E" w:rsidRDefault="00F2451E" w:rsidP="00F2451E">
      <w:pPr>
        <w:pStyle w:val="BodyText"/>
      </w:pPr>
      <w:r>
        <w:t xml:space="preserve">If data is to be recorded over a longer </w:t>
      </w:r>
      <w:r w:rsidR="002E5FD8">
        <w:t>period</w:t>
      </w:r>
      <w:r>
        <w:t xml:space="preserve">, </w:t>
      </w:r>
      <w:r w:rsidR="002E5FD8">
        <w:t>a</w:t>
      </w:r>
      <w:r>
        <w:t xml:space="preserve"> marine beacon receiver can be configured to log the data via the NMEA $GPMSS string</w:t>
      </w:r>
      <w:r w:rsidR="002E5FD8">
        <w:t xml:space="preserve">.  The </w:t>
      </w:r>
      <w:r w:rsidR="00B25AB5">
        <w:t xml:space="preserve">reported </w:t>
      </w:r>
      <w:r w:rsidR="002E5FD8">
        <w:t>signal strength is not calibrated and therefore the calibrated equipment should be used to measure the field strength and a correction factor noted between the calibrated equipment and the figure reported by the receiver.</w:t>
      </w:r>
    </w:p>
    <w:p w14:paraId="0F6D2C95" w14:textId="77777777" w:rsidR="00113BC8" w:rsidRDefault="00113BC8" w:rsidP="00F2451E">
      <w:pPr>
        <w:pStyle w:val="BodyText"/>
      </w:pPr>
    </w:p>
    <w:p w14:paraId="6A53FD88" w14:textId="77777777" w:rsidR="00F2451E" w:rsidRDefault="00965860" w:rsidP="00F2451E">
      <w:pPr>
        <w:pStyle w:val="Heading1"/>
      </w:pPr>
      <w:bookmarkStart w:id="49" w:name="_Toc462254369"/>
      <w:r>
        <w:t>ACRONYMS</w:t>
      </w:r>
      <w:bookmarkEnd w:id="49"/>
    </w:p>
    <w:p w14:paraId="33324D75" w14:textId="77777777" w:rsidR="00F2451E" w:rsidRDefault="00F2451E" w:rsidP="00F2451E">
      <w:pPr>
        <w:pStyle w:val="Heading1separatationline"/>
      </w:pPr>
    </w:p>
    <w:p w14:paraId="2BD24F6E" w14:textId="77777777" w:rsidR="00CD6397" w:rsidRDefault="00CD6397" w:rsidP="00F2451E">
      <w:pPr>
        <w:pStyle w:val="Acronym"/>
      </w:pPr>
      <w:r>
        <w:t>Bps</w:t>
      </w:r>
      <w:r>
        <w:tab/>
        <w:t>Bits per second</w:t>
      </w:r>
    </w:p>
    <w:p w14:paraId="3E3E0534" w14:textId="77777777" w:rsidR="009E2A86" w:rsidRDefault="009E2A86" w:rsidP="00F2451E">
      <w:pPr>
        <w:pStyle w:val="Acronym"/>
      </w:pPr>
      <w:r>
        <w:t>dB</w:t>
      </w:r>
      <w:r>
        <w:tab/>
        <w:t>decibel</w:t>
      </w:r>
    </w:p>
    <w:p w14:paraId="6C5A785A" w14:textId="77777777" w:rsidR="009E2A86" w:rsidRDefault="009E2A86" w:rsidP="00F2451E">
      <w:pPr>
        <w:pStyle w:val="Acronym"/>
      </w:pPr>
      <w:r>
        <w:t>DGNSS</w:t>
      </w:r>
      <w:r>
        <w:tab/>
        <w:t>Differential Global Navigation Satellite System</w:t>
      </w:r>
    </w:p>
    <w:p w14:paraId="65C7F414" w14:textId="77777777" w:rsidR="00CD6397" w:rsidRDefault="00CD6397" w:rsidP="00F2451E">
      <w:pPr>
        <w:pStyle w:val="Acronym"/>
      </w:pPr>
      <w:r>
        <w:t>EMA</w:t>
      </w:r>
      <w:r>
        <w:tab/>
        <w:t>European Maritime Area</w:t>
      </w:r>
    </w:p>
    <w:p w14:paraId="42EB85F2" w14:textId="77777777" w:rsidR="009E2A86" w:rsidRDefault="009E2A86" w:rsidP="00F2451E">
      <w:pPr>
        <w:pStyle w:val="Acronym"/>
      </w:pPr>
      <w:r>
        <w:t>GNSS</w:t>
      </w:r>
      <w:r>
        <w:tab/>
        <w:t>Global Navigation Satellite System</w:t>
      </w:r>
    </w:p>
    <w:p w14:paraId="607E7738" w14:textId="77777777" w:rsidR="009E2A86" w:rsidRDefault="009E2A86" w:rsidP="00F2451E">
      <w:pPr>
        <w:pStyle w:val="Acronym"/>
      </w:pPr>
      <w:r>
        <w:t>IALA</w:t>
      </w:r>
      <w:r>
        <w:tab/>
        <w:t>International Association of Marine Aids to Navigation and Lighthouse Authorities</w:t>
      </w:r>
    </w:p>
    <w:p w14:paraId="6EB0852B" w14:textId="77777777" w:rsidR="009E2A86" w:rsidRDefault="009E2A86" w:rsidP="00F2451E">
      <w:pPr>
        <w:pStyle w:val="Acronym"/>
      </w:pPr>
      <w:r>
        <w:t>ITU</w:t>
      </w:r>
      <w:r>
        <w:tab/>
      </w:r>
      <w:r w:rsidRPr="009E2A86">
        <w:t>International Telecommunications Union</w:t>
      </w:r>
    </w:p>
    <w:p w14:paraId="04F1BD0F" w14:textId="77777777" w:rsidR="00CD6397" w:rsidRDefault="00CD6397" w:rsidP="00F2451E">
      <w:pPr>
        <w:pStyle w:val="Acronym"/>
      </w:pPr>
      <w:r>
        <w:t>kHz</w:t>
      </w:r>
      <w:r>
        <w:tab/>
        <w:t>kilohertz</w:t>
      </w:r>
    </w:p>
    <w:p w14:paraId="48EE946F" w14:textId="77777777" w:rsidR="009E2A86" w:rsidRDefault="009E2A86" w:rsidP="00F2451E">
      <w:pPr>
        <w:pStyle w:val="Acronym"/>
      </w:pPr>
      <w:r>
        <w:t>km</w:t>
      </w:r>
      <w:r>
        <w:tab/>
        <w:t>kilometre</w:t>
      </w:r>
    </w:p>
    <w:p w14:paraId="03C131B5" w14:textId="77777777" w:rsidR="009E2A86" w:rsidRDefault="009E2A86" w:rsidP="00F2451E">
      <w:pPr>
        <w:pStyle w:val="Acronym"/>
      </w:pPr>
      <w:r>
        <w:t>kW</w:t>
      </w:r>
      <w:r>
        <w:tab/>
        <w:t>kilowatt</w:t>
      </w:r>
    </w:p>
    <w:p w14:paraId="259C95E4" w14:textId="77777777" w:rsidR="009E2A86" w:rsidRDefault="009E2A86" w:rsidP="00F2451E">
      <w:pPr>
        <w:pStyle w:val="Acronym"/>
      </w:pPr>
      <w:r>
        <w:t>m</w:t>
      </w:r>
      <w:r>
        <w:tab/>
        <w:t>metre</w:t>
      </w:r>
    </w:p>
    <w:p w14:paraId="032F1AF5" w14:textId="77777777" w:rsidR="009E2A86" w:rsidRDefault="009E2A86" w:rsidP="00F2451E">
      <w:pPr>
        <w:pStyle w:val="Acronym"/>
      </w:pPr>
      <w:r>
        <w:t>NMEA</w:t>
      </w:r>
      <w:r>
        <w:tab/>
      </w:r>
      <w:r w:rsidR="00FB4066" w:rsidRPr="00901484">
        <w:t>National Marine Electronics Association</w:t>
      </w:r>
    </w:p>
    <w:p w14:paraId="4129D549" w14:textId="77777777" w:rsidR="00CD6397" w:rsidRDefault="00CD6397" w:rsidP="00F2451E">
      <w:pPr>
        <w:pStyle w:val="Acronym"/>
      </w:pPr>
      <w:r>
        <w:t>SGR</w:t>
      </w:r>
      <w:r>
        <w:tab/>
        <w:t>Skywave-to-Groundwave Ratio</w:t>
      </w:r>
    </w:p>
    <w:p w14:paraId="7CE838C5" w14:textId="77777777" w:rsidR="009E2A86" w:rsidRDefault="00FB4066" w:rsidP="00F2451E">
      <w:pPr>
        <w:pStyle w:val="Acronym"/>
      </w:pPr>
      <w:r>
        <w:t>SNR</w:t>
      </w:r>
      <w:r>
        <w:tab/>
        <w:t>Signal-to-</w:t>
      </w:r>
      <w:r w:rsidR="009E2A86">
        <w:t>Noise Ratio</w:t>
      </w:r>
    </w:p>
    <w:p w14:paraId="73D6D9F2" w14:textId="77777777" w:rsidR="009E2A86" w:rsidRDefault="009E2A86" w:rsidP="00F2451E">
      <w:pPr>
        <w:pStyle w:val="Acronym"/>
      </w:pPr>
      <w:r>
        <w:rPr>
          <w:rFonts w:ascii="Calibri" w:hAnsi="Calibri"/>
        </w:rPr>
        <w:t>µ</w:t>
      </w:r>
      <w:r>
        <w:t>V</w:t>
      </w:r>
      <w:r>
        <w:tab/>
        <w:t>microvolt</w:t>
      </w:r>
    </w:p>
    <w:p w14:paraId="147406D6" w14:textId="77777777" w:rsidR="00CD6397" w:rsidRPr="00F2451E" w:rsidRDefault="00CD6397" w:rsidP="00F2451E">
      <w:pPr>
        <w:pStyle w:val="Acronym"/>
      </w:pPr>
      <w:r>
        <w:t>w.r.t</w:t>
      </w:r>
      <w:r>
        <w:tab/>
        <w:t>With respect to</w:t>
      </w:r>
    </w:p>
    <w:p w14:paraId="42370533" w14:textId="77777777" w:rsidR="00F2451E" w:rsidRDefault="00F2451E" w:rsidP="00F2451E">
      <w:pPr>
        <w:pStyle w:val="Heading1"/>
      </w:pPr>
      <w:bookmarkStart w:id="50" w:name="_Toc462254370"/>
      <w:r>
        <w:t>REFERENCES</w:t>
      </w:r>
      <w:bookmarkEnd w:id="50"/>
    </w:p>
    <w:p w14:paraId="53CF5DFA" w14:textId="77777777" w:rsidR="00F2451E" w:rsidRPr="00F2451E" w:rsidRDefault="00F2451E" w:rsidP="00F2451E">
      <w:pPr>
        <w:pStyle w:val="Heading1separatationline"/>
      </w:pPr>
    </w:p>
    <w:p w14:paraId="5555219A" w14:textId="77777777" w:rsidR="00F2451E" w:rsidRDefault="00590D2B" w:rsidP="00590D2B">
      <w:pPr>
        <w:pStyle w:val="ListParagraph"/>
        <w:numPr>
          <w:ilvl w:val="0"/>
          <w:numId w:val="44"/>
        </w:numPr>
        <w:spacing w:after="200" w:line="276" w:lineRule="auto"/>
        <w:rPr>
          <w:sz w:val="22"/>
        </w:rPr>
      </w:pPr>
      <w:bookmarkStart w:id="51" w:name="_Ref459643859"/>
      <w:r w:rsidRPr="00590D2B">
        <w:rPr>
          <w:sz w:val="22"/>
        </w:rPr>
        <w:t>IALA Guideline No. 1112, “Performance and monitoring of DGNSS services in the frequency band 283.5-325 kHz”, May 2015.</w:t>
      </w:r>
      <w:bookmarkEnd w:id="51"/>
    </w:p>
    <w:p w14:paraId="3DF6EC5C" w14:textId="77777777" w:rsidR="00590D2B" w:rsidRPr="00590D2B" w:rsidRDefault="00590D2B" w:rsidP="00590D2B">
      <w:pPr>
        <w:pStyle w:val="ListParagraph"/>
        <w:numPr>
          <w:ilvl w:val="0"/>
          <w:numId w:val="44"/>
        </w:numPr>
        <w:spacing w:after="200" w:line="276" w:lineRule="auto"/>
        <w:rPr>
          <w:sz w:val="22"/>
        </w:rPr>
      </w:pPr>
      <w:bookmarkStart w:id="52" w:name="_Ref459643872"/>
      <w:r>
        <w:rPr>
          <w:sz w:val="22"/>
        </w:rPr>
        <w:t>ITU Recommendation ITU-R P.832-4, “World atlas of ground conductivities”, 2015.</w:t>
      </w:r>
      <w:bookmarkEnd w:id="52"/>
    </w:p>
    <w:p w14:paraId="44D64FFA" w14:textId="77777777" w:rsidR="00590D2B" w:rsidRDefault="00590D2B" w:rsidP="00590D2B">
      <w:pPr>
        <w:pStyle w:val="ListParagraph"/>
        <w:numPr>
          <w:ilvl w:val="0"/>
          <w:numId w:val="44"/>
        </w:numPr>
        <w:spacing w:after="200" w:line="276" w:lineRule="auto"/>
        <w:rPr>
          <w:sz w:val="22"/>
        </w:rPr>
      </w:pPr>
      <w:bookmarkStart w:id="53" w:name="_Ref459643881"/>
      <w:r w:rsidRPr="00590D2B">
        <w:rPr>
          <w:sz w:val="22"/>
        </w:rPr>
        <w:t>ITU Recommendation ITU-R P.368-9, “Ground-wave propagation curves for frequencies between 10kHz and 30MMz”, 2007.</w:t>
      </w:r>
      <w:bookmarkEnd w:id="53"/>
    </w:p>
    <w:p w14:paraId="6CC6F964" w14:textId="77777777" w:rsidR="00590D2B" w:rsidRDefault="00590D2B" w:rsidP="00590D2B">
      <w:pPr>
        <w:pStyle w:val="ListParagraph"/>
        <w:numPr>
          <w:ilvl w:val="0"/>
          <w:numId w:val="44"/>
        </w:numPr>
        <w:spacing w:after="200" w:line="276" w:lineRule="auto"/>
        <w:rPr>
          <w:sz w:val="22"/>
        </w:rPr>
      </w:pPr>
      <w:bookmarkStart w:id="54" w:name="_Ref459643888"/>
      <w:r w:rsidRPr="00590D2B">
        <w:rPr>
          <w:sz w:val="22"/>
        </w:rPr>
        <w:t>ITU Recommendation ITU-R P.1147, "Prediction of Sky-Wave Field Strength at Frequencies between about 150 and 1700 kHz", Recommendation ITU-R P.1147-4, 2007</w:t>
      </w:r>
      <w:r w:rsidR="00537906">
        <w:rPr>
          <w:sz w:val="22"/>
        </w:rPr>
        <w:t>.</w:t>
      </w:r>
      <w:bookmarkEnd w:id="54"/>
    </w:p>
    <w:p w14:paraId="285A6DC9" w14:textId="77777777" w:rsidR="00537906" w:rsidRDefault="00537906" w:rsidP="00590D2B">
      <w:pPr>
        <w:pStyle w:val="ListParagraph"/>
        <w:numPr>
          <w:ilvl w:val="0"/>
          <w:numId w:val="44"/>
        </w:numPr>
        <w:spacing w:after="200" w:line="276" w:lineRule="auto"/>
        <w:rPr>
          <w:sz w:val="22"/>
        </w:rPr>
      </w:pPr>
      <w:bookmarkStart w:id="55" w:name="_Ref459643916"/>
      <w:r>
        <w:rPr>
          <w:sz w:val="22"/>
        </w:rPr>
        <w:t>Poppe, D., “Coverage and performance prediction of DGPS systems employing radiobeacon transmissions”, PhD Thesis, University of Wales, Bangor, 1995.</w:t>
      </w:r>
      <w:bookmarkEnd w:id="55"/>
    </w:p>
    <w:p w14:paraId="3032869F" w14:textId="77777777" w:rsidR="00537906" w:rsidRDefault="00537906" w:rsidP="00590D2B">
      <w:pPr>
        <w:pStyle w:val="ListParagraph"/>
        <w:numPr>
          <w:ilvl w:val="0"/>
          <w:numId w:val="44"/>
        </w:numPr>
        <w:spacing w:after="200" w:line="276" w:lineRule="auto"/>
        <w:rPr>
          <w:sz w:val="22"/>
        </w:rPr>
      </w:pPr>
      <w:bookmarkStart w:id="56" w:name="_Ref459643926"/>
      <w:r>
        <w:rPr>
          <w:sz w:val="22"/>
        </w:rPr>
        <w:t>ITU Recommendation ITU-R P.372-12, “Radio noise”, 2015.</w:t>
      </w:r>
      <w:bookmarkEnd w:id="56"/>
    </w:p>
    <w:p w14:paraId="1D6349FF" w14:textId="77777777" w:rsidR="00537906" w:rsidRDefault="00537906" w:rsidP="00590D2B">
      <w:pPr>
        <w:pStyle w:val="ListParagraph"/>
        <w:numPr>
          <w:ilvl w:val="0"/>
          <w:numId w:val="44"/>
        </w:numPr>
        <w:spacing w:after="200" w:line="276" w:lineRule="auto"/>
        <w:rPr>
          <w:sz w:val="22"/>
        </w:rPr>
      </w:pPr>
      <w:bookmarkStart w:id="57" w:name="_Ref459644001"/>
      <w:r>
        <w:rPr>
          <w:sz w:val="22"/>
        </w:rPr>
        <w:t>Grant, A., “Availability, continuity and beacon selection analysis and prediction for maritime radiobeacon DGNSS”, PhD Thesis, University of Wales, Bangor, 2002</w:t>
      </w:r>
      <w:bookmarkEnd w:id="57"/>
    </w:p>
    <w:p w14:paraId="051A7303" w14:textId="77777777" w:rsidR="009A32FC" w:rsidRDefault="009A32FC" w:rsidP="009A32FC">
      <w:pPr>
        <w:pStyle w:val="ListParagraph"/>
        <w:numPr>
          <w:ilvl w:val="0"/>
          <w:numId w:val="44"/>
        </w:numPr>
        <w:spacing w:after="200" w:line="276" w:lineRule="auto"/>
        <w:rPr>
          <w:sz w:val="22"/>
        </w:rPr>
      </w:pPr>
      <w:bookmarkStart w:id="58" w:name="_Ref459643933"/>
      <w:r>
        <w:rPr>
          <w:sz w:val="22"/>
        </w:rPr>
        <w:t>ITU World radio regulations, 2012.</w:t>
      </w:r>
      <w:bookmarkEnd w:id="58"/>
    </w:p>
    <w:p w14:paraId="62BAF67B" w14:textId="77777777" w:rsidR="002E04FB" w:rsidRDefault="002E04FB" w:rsidP="00590D2B">
      <w:pPr>
        <w:pStyle w:val="ListParagraph"/>
        <w:numPr>
          <w:ilvl w:val="0"/>
          <w:numId w:val="44"/>
        </w:numPr>
        <w:spacing w:after="200" w:line="276" w:lineRule="auto"/>
        <w:rPr>
          <w:sz w:val="22"/>
        </w:rPr>
      </w:pPr>
      <w:bookmarkStart w:id="59" w:name="_Ref459644050"/>
      <w:r>
        <w:rPr>
          <w:sz w:val="22"/>
        </w:rPr>
        <w:t>ITU Recommendation ITU-R M823-3, “Technical characteristics of differential transmissions for global navigation satellite systems from maritime radio beacons in the frequency band 283.5-315 kHz in Region 1 and 285-325 kHz in Regions 2 and 3”, 2006.</w:t>
      </w:r>
      <w:bookmarkEnd w:id="59"/>
    </w:p>
    <w:p w14:paraId="398EB5F5" w14:textId="77777777" w:rsidR="003275B2" w:rsidRPr="00590D2B" w:rsidRDefault="003275B2" w:rsidP="003275B2">
      <w:pPr>
        <w:pStyle w:val="ListParagraph"/>
        <w:numPr>
          <w:ilvl w:val="0"/>
          <w:numId w:val="44"/>
        </w:numPr>
        <w:spacing w:after="200" w:line="276" w:lineRule="auto"/>
        <w:rPr>
          <w:sz w:val="22"/>
        </w:rPr>
      </w:pPr>
      <w:bookmarkStart w:id="60" w:name="_Ref459644094"/>
      <w:r>
        <w:rPr>
          <w:sz w:val="22"/>
        </w:rPr>
        <w:lastRenderedPageBreak/>
        <w:t>IALA list of radiobeacons (www.iala-aism.org)</w:t>
      </w:r>
      <w:bookmarkEnd w:id="60"/>
      <w:r w:rsidRPr="003275B2">
        <w:t xml:space="preserve"> </w:t>
      </w:r>
    </w:p>
    <w:p w14:paraId="32E759B6" w14:textId="77777777" w:rsidR="00590D2B" w:rsidRDefault="00590D2B">
      <w:pPr>
        <w:spacing w:after="200" w:line="276" w:lineRule="auto"/>
      </w:pPr>
    </w:p>
    <w:p w14:paraId="70696F8F" w14:textId="77777777" w:rsidR="00590D2B" w:rsidRDefault="00590D2B">
      <w:pPr>
        <w:spacing w:after="200" w:line="276" w:lineRule="auto"/>
        <w:rPr>
          <w:sz w:val="22"/>
        </w:rPr>
      </w:pPr>
    </w:p>
    <w:p w14:paraId="17E9B5FD" w14:textId="77777777" w:rsidR="00590D2B" w:rsidRDefault="00590D2B">
      <w:pPr>
        <w:spacing w:after="200" w:line="276" w:lineRule="auto"/>
        <w:rPr>
          <w:sz w:val="22"/>
        </w:rPr>
      </w:pPr>
    </w:p>
    <w:sectPr w:rsidR="00590D2B" w:rsidSect="00614F57">
      <w:headerReference w:type="even" r:id="rId46"/>
      <w:headerReference w:type="default" r:id="rId47"/>
      <w:footerReference w:type="default" r:id="rId48"/>
      <w:headerReference w:type="first" r:id="rId49"/>
      <w:pgSz w:w="11906" w:h="16838" w:code="9"/>
      <w:pgMar w:top="567" w:right="794" w:bottom="567" w:left="907" w:header="850" w:footer="850"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 w:author="Michael Hadley" w:date="2016-06-24T09:49:00Z" w:initials="MH">
    <w:p w14:paraId="7E77EC78" w14:textId="77777777" w:rsidR="00E9296D" w:rsidRDefault="00E9296D" w:rsidP="009B7C20">
      <w:pPr>
        <w:pStyle w:val="CommentText"/>
      </w:pPr>
      <w:r>
        <w:rPr>
          <w:rStyle w:val="CommentReference"/>
        </w:rPr>
        <w:annotationRef/>
      </w:r>
      <w:r>
        <w:t>The reformatting process aims to eliminate ‘foreign’ styles and so some draft text / comments from the original documents may have been lost.  Where possible cross-references have been inserted.  A list of acronyms, based on the original document has been created, please check this for validity.</w:t>
      </w:r>
    </w:p>
    <w:p w14:paraId="59B7ACB5" w14:textId="77777777" w:rsidR="00E9296D" w:rsidRDefault="00E9296D" w:rsidP="009B7C20">
      <w:pPr>
        <w:pStyle w:val="CommentText"/>
      </w:pPr>
      <w:r>
        <w:t>The structure of the document is also in accordance with the new template.</w:t>
      </w:r>
    </w:p>
  </w:comment>
  <w:comment w:id="3" w:author="Michael Hadley" w:date="2016-03-15T14:53:00Z" w:initials="MH">
    <w:p w14:paraId="766971FE" w14:textId="77777777" w:rsidR="00E9296D" w:rsidRDefault="00E9296D">
      <w:pPr>
        <w:pStyle w:val="CommentText"/>
      </w:pPr>
      <w:r>
        <w:rPr>
          <w:rStyle w:val="CommentReference"/>
        </w:rPr>
        <w:annotationRef/>
      </w:r>
      <w:r>
        <w:t>Insert date approved by Council (Month &amp; Year)</w:t>
      </w:r>
    </w:p>
  </w:comment>
  <w:comment w:id="5" w:author="Michael Hadley" w:date="2016-05-08T11:14:00Z" w:initials="MH">
    <w:p w14:paraId="46472019" w14:textId="77777777" w:rsidR="00E9296D" w:rsidRDefault="00E9296D" w:rsidP="00795637">
      <w:pPr>
        <w:pStyle w:val="CommentText"/>
      </w:pPr>
      <w:r>
        <w:rPr>
          <w:rStyle w:val="CommentReference"/>
        </w:rPr>
        <w:annotationRef/>
      </w:r>
      <w:r>
        <w:t>All IALA documents are to be in UK English.</w:t>
      </w:r>
    </w:p>
    <w:p w14:paraId="31A73E9E" w14:textId="77777777" w:rsidR="00E9296D" w:rsidRDefault="00E9296D" w:rsidP="00795637">
      <w:pPr>
        <w:pStyle w:val="CommentText"/>
      </w:pPr>
      <w:r>
        <w:t>No additional styles are to be introduced without approval from IALA (</w:t>
      </w:r>
      <w:proofErr w:type="spellStart"/>
      <w:r>
        <w:t>p.o.c</w:t>
      </w:r>
      <w:proofErr w:type="spellEnd"/>
      <w:r>
        <w:t>. Marie-</w:t>
      </w:r>
      <w:proofErr w:type="spellStart"/>
      <w:r>
        <w:t>Hèléne</w:t>
      </w:r>
      <w:proofErr w:type="spellEnd"/>
      <w:r>
        <w:t xml:space="preserve"> </w:t>
      </w:r>
      <w:proofErr w:type="spellStart"/>
      <w:r>
        <w:t>Grillet</w:t>
      </w:r>
      <w:proofErr w:type="spellEnd"/>
      <w:r>
        <w:t xml:space="preserve"> </w:t>
      </w:r>
      <w:hyperlink r:id="rId1" w:history="1">
        <w:r w:rsidRPr="00D8388E">
          <w:rPr>
            <w:rStyle w:val="Hyperlink"/>
            <w:rFonts w:ascii="Arial" w:hAnsi="Arial" w:cs="Arial"/>
            <w:lang w:val="en-US"/>
          </w:rPr>
          <w:t>marie-helene.grillet@iala-aism.org</w:t>
        </w:r>
      </w:hyperlink>
      <w:r>
        <w:t xml:space="preserve"> )</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9B7ACB5" w15:done="0"/>
  <w15:commentEx w15:paraId="766971FE" w15:done="0"/>
  <w15:commentEx w15:paraId="31A73E9E"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308B72" w14:textId="77777777" w:rsidR="0095559B" w:rsidRDefault="0095559B" w:rsidP="003274DB">
      <w:r>
        <w:separator/>
      </w:r>
    </w:p>
    <w:p w14:paraId="3262589A" w14:textId="77777777" w:rsidR="0095559B" w:rsidRDefault="0095559B"/>
  </w:endnote>
  <w:endnote w:type="continuationSeparator" w:id="0">
    <w:p w14:paraId="1A849083" w14:textId="77777777" w:rsidR="0095559B" w:rsidRDefault="0095559B" w:rsidP="003274DB">
      <w:r>
        <w:continuationSeparator/>
      </w:r>
    </w:p>
    <w:p w14:paraId="6AA8A045" w14:textId="77777777" w:rsidR="0095559B" w:rsidRDefault="0095559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Font130">
    <w:altName w:val="Times New Roman"/>
    <w:panose1 w:val="00000000000000000000"/>
    <w:charset w:val="4D"/>
    <w:family w:val="auto"/>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B7F2" w14:textId="77777777" w:rsidR="00E9296D" w:rsidRDefault="00E9296D"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C4F7EFB" w14:textId="77777777" w:rsidR="00E9296D" w:rsidRDefault="00E9296D"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0C72246" w14:textId="77777777" w:rsidR="00E9296D" w:rsidRDefault="00E9296D"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527AAF05" w14:textId="77777777" w:rsidR="00E9296D" w:rsidRDefault="00E9296D"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799399E" w14:textId="77777777" w:rsidR="00E9296D" w:rsidRDefault="00E9296D" w:rsidP="005378A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FE33DD" w14:textId="77777777" w:rsidR="00E9296D" w:rsidRDefault="00E9296D" w:rsidP="008747E0">
    <w:pPr>
      <w:pStyle w:val="Footer"/>
    </w:pPr>
    <w:r>
      <w:rPr>
        <w:noProof/>
        <w:lang w:val="en-IE" w:eastAsia="en-IE"/>
      </w:rPr>
      <mc:AlternateContent>
        <mc:Choice Requires="wps">
          <w:drawing>
            <wp:anchor distT="0" distB="0" distL="114300" distR="114300" simplePos="0" relativeHeight="251669504" behindDoc="0" locked="0" layoutInCell="1" allowOverlap="1" wp14:anchorId="0DE2EE76" wp14:editId="55E2EA53">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80C4666"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p w14:paraId="50188DF6" w14:textId="77777777" w:rsidR="00E9296D" w:rsidRPr="00ED2A8D" w:rsidRDefault="00E9296D" w:rsidP="008747E0">
    <w:pPr>
      <w:pStyle w:val="Footer"/>
    </w:pPr>
    <w:r w:rsidRPr="00442889">
      <w:rPr>
        <w:noProof/>
        <w:lang w:val="en-IE" w:eastAsia="en-IE"/>
      </w:rPr>
      <w:drawing>
        <wp:anchor distT="0" distB="0" distL="114300" distR="114300" simplePos="0" relativeHeight="251661312" behindDoc="1" locked="0" layoutInCell="1" allowOverlap="1" wp14:anchorId="7D445A99" wp14:editId="4254A7BA">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590AE6B0" w14:textId="77777777" w:rsidR="00E9296D" w:rsidRPr="00ED2A8D" w:rsidRDefault="00E9296D" w:rsidP="008747E0">
    <w:pPr>
      <w:pStyle w:val="Footer"/>
    </w:pPr>
  </w:p>
  <w:p w14:paraId="1240E35A" w14:textId="77777777" w:rsidR="00E9296D" w:rsidRPr="00ED2A8D" w:rsidRDefault="00E9296D" w:rsidP="008747E0">
    <w:pPr>
      <w:pStyle w:val="Footer"/>
    </w:pPr>
  </w:p>
  <w:p w14:paraId="5E5EBF5F" w14:textId="77777777" w:rsidR="00E9296D" w:rsidRPr="00ED2A8D" w:rsidRDefault="00E9296D" w:rsidP="008747E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EF8D6E" w14:textId="77777777" w:rsidR="00E9296D" w:rsidRDefault="00E9296D" w:rsidP="00525922">
    <w:pPr>
      <w:pStyle w:val="Footerlandscape"/>
    </w:pPr>
    <w:r>
      <w:rPr>
        <w:noProof/>
        <w:lang w:val="en-IE" w:eastAsia="en-IE"/>
      </w:rPr>
      <mc:AlternateContent>
        <mc:Choice Requires="wps">
          <w:drawing>
            <wp:anchor distT="0" distB="0" distL="114300" distR="114300" simplePos="0" relativeHeight="251691008" behindDoc="0" locked="0" layoutInCell="1" allowOverlap="1" wp14:anchorId="4B3A1E1D" wp14:editId="0FA2098B">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BFBA512"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2411A62E" w14:textId="77777777" w:rsidR="00E9296D" w:rsidRPr="00C907DF" w:rsidRDefault="00E9296D"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en-US"/>
      </w:rPr>
      <w:t>Error! Use the Home tab to apply Document title to the text that you want to appear here.</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1???</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en-US"/>
      </w:rPr>
      <w:t>Error! Use the Home tab to apply Subtitle to the text that you want to appear here.</w:t>
    </w:r>
    <w:r>
      <w:rPr>
        <w:szCs w:val="15"/>
      </w:rPr>
      <w:fldChar w:fldCharType="end"/>
    </w:r>
  </w:p>
  <w:p w14:paraId="5420F7DE" w14:textId="77777777" w:rsidR="00E9296D" w:rsidRPr="00525922" w:rsidRDefault="00E9296D"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 (Draft)</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1</w:t>
    </w:r>
    <w:r w:rsidRPr="00C907DF">
      <w:rPr>
        <w:rStyle w:val="PageNumber"/>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A3E212" w14:textId="77777777" w:rsidR="00E9296D" w:rsidRPr="00C716E5" w:rsidRDefault="00E9296D" w:rsidP="00C716E5">
    <w:pPr>
      <w:pStyle w:val="Footer"/>
      <w:rPr>
        <w:sz w:val="15"/>
        <w:szCs w:val="15"/>
      </w:rPr>
    </w:pPr>
  </w:p>
  <w:p w14:paraId="11247561" w14:textId="77777777" w:rsidR="00E9296D" w:rsidRDefault="00E9296D" w:rsidP="00C716E5">
    <w:pPr>
      <w:pStyle w:val="Footerportrait"/>
    </w:pPr>
  </w:p>
  <w:p w14:paraId="3EB7BD7D" w14:textId="77777777" w:rsidR="00E9296D" w:rsidRPr="00C907DF" w:rsidRDefault="00170C69" w:rsidP="00C716E5">
    <w:pPr>
      <w:pStyle w:val="Footerportrait"/>
      <w:rPr>
        <w:rStyle w:val="PageNumber"/>
        <w:szCs w:val="15"/>
      </w:rPr>
    </w:pPr>
    <w:fldSimple w:instr=" STYLEREF &quot;Document type&quot; \* MERGEFORMAT ">
      <w:r w:rsidR="00C33F01">
        <w:t>IALA Guideline</w:t>
      </w:r>
    </w:fldSimple>
    <w:r w:rsidR="00E9296D" w:rsidRPr="00C907DF">
      <w:t xml:space="preserve"> </w:t>
    </w:r>
    <w:fldSimple w:instr=" STYLEREF &quot;Document number&quot; \* MERGEFORMAT ">
      <w:r w:rsidR="00C33F01">
        <w:t>1???</w:t>
      </w:r>
    </w:fldSimple>
    <w:r w:rsidR="00E9296D" w:rsidRPr="00C907DF">
      <w:t xml:space="preserve"> –</w:t>
    </w:r>
    <w:r w:rsidR="00E9296D">
      <w:t xml:space="preserve"> </w:t>
    </w:r>
    <w:fldSimple w:instr=" STYLEREF &quot;Document name&quot; \* MERGEFORMAT ">
      <w:r w:rsidR="00C33F01">
        <w:t>Marine beacon coverage prediction</w:t>
      </w:r>
    </w:fldSimple>
  </w:p>
  <w:p w14:paraId="29ED478B" w14:textId="77777777" w:rsidR="00E9296D" w:rsidRPr="00C907DF" w:rsidRDefault="00170C69" w:rsidP="00C716E5">
    <w:pPr>
      <w:pStyle w:val="Footerportrait"/>
    </w:pPr>
    <w:fldSimple w:instr=" STYLEREF &quot;Edition number&quot; \* MERGEFORMAT ">
      <w:r w:rsidR="00C33F01">
        <w:t>Edition 1.0 (Draft)</w:t>
      </w:r>
    </w:fldSimple>
    <w:r w:rsidR="00E9296D">
      <w:t xml:space="preserve">  </w:t>
    </w:r>
    <w:fldSimple w:instr=" STYLEREF &quot;Document date&quot; \* MERGEFORMAT ">
      <w:r w:rsidR="00C33F01">
        <w:t>Document date</w:t>
      </w:r>
    </w:fldSimple>
    <w:r w:rsidR="00E9296D" w:rsidRPr="00C907DF">
      <w:tab/>
    </w:r>
    <w:r w:rsidR="00E9296D">
      <w:t xml:space="preserve">P </w:t>
    </w:r>
    <w:r w:rsidR="00E9296D" w:rsidRPr="00C907DF">
      <w:rPr>
        <w:rStyle w:val="PageNumber"/>
        <w:szCs w:val="15"/>
      </w:rPr>
      <w:fldChar w:fldCharType="begin"/>
    </w:r>
    <w:r w:rsidR="00E9296D" w:rsidRPr="00C907DF">
      <w:rPr>
        <w:rStyle w:val="PageNumber"/>
        <w:szCs w:val="15"/>
      </w:rPr>
      <w:instrText xml:space="preserve">PAGE  </w:instrText>
    </w:r>
    <w:r w:rsidR="00E9296D" w:rsidRPr="00C907DF">
      <w:rPr>
        <w:rStyle w:val="PageNumber"/>
        <w:szCs w:val="15"/>
      </w:rPr>
      <w:fldChar w:fldCharType="separate"/>
    </w:r>
    <w:r w:rsidR="00C33F01">
      <w:rPr>
        <w:rStyle w:val="PageNumber"/>
        <w:szCs w:val="15"/>
      </w:rPr>
      <w:t>5</w:t>
    </w:r>
    <w:r w:rsidR="00E9296D" w:rsidRPr="00C907DF">
      <w:rPr>
        <w:rStyle w:val="PageNumber"/>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CADD65" w14:textId="77777777" w:rsidR="00E9296D" w:rsidRDefault="00E9296D" w:rsidP="00C716E5">
    <w:pPr>
      <w:pStyle w:val="Footer"/>
    </w:pPr>
  </w:p>
  <w:p w14:paraId="1E9C3F3D" w14:textId="77777777" w:rsidR="00E9296D" w:rsidRDefault="00E9296D" w:rsidP="00C716E5">
    <w:pPr>
      <w:pStyle w:val="Footerportrait"/>
    </w:pPr>
  </w:p>
  <w:p w14:paraId="6B32CEF0" w14:textId="77777777" w:rsidR="00E9296D" w:rsidRPr="00C907DF" w:rsidRDefault="00170C69" w:rsidP="00C716E5">
    <w:pPr>
      <w:pStyle w:val="Footerportrait"/>
      <w:rPr>
        <w:rStyle w:val="PageNumber"/>
        <w:szCs w:val="15"/>
      </w:rPr>
    </w:pPr>
    <w:fldSimple w:instr=" STYLEREF &quot;Document type&quot; \* MERGEFORMAT ">
      <w:r w:rsidR="00C33F01">
        <w:t>IALA Guideline</w:t>
      </w:r>
    </w:fldSimple>
    <w:r w:rsidR="00E9296D" w:rsidRPr="00C907DF">
      <w:t xml:space="preserve"> </w:t>
    </w:r>
    <w:fldSimple w:instr=" STYLEREF &quot;Document number&quot; \* MERGEFORMAT ">
      <w:r w:rsidR="00C33F01">
        <w:t>1???</w:t>
      </w:r>
    </w:fldSimple>
    <w:r w:rsidR="00E9296D" w:rsidRPr="00C907DF">
      <w:t xml:space="preserve"> –</w:t>
    </w:r>
    <w:r w:rsidR="00E9296D">
      <w:t xml:space="preserve"> </w:t>
    </w:r>
    <w:fldSimple w:instr=" STYLEREF &quot;Document name&quot; \* MERGEFORMAT ">
      <w:r w:rsidR="00C33F01">
        <w:t>Marine beacon coverage prediction</w:t>
      </w:r>
    </w:fldSimple>
  </w:p>
  <w:p w14:paraId="1739CDD8" w14:textId="77777777" w:rsidR="00E9296D" w:rsidRPr="00525922" w:rsidRDefault="00170C69" w:rsidP="00C716E5">
    <w:pPr>
      <w:pStyle w:val="Footerportrait"/>
    </w:pPr>
    <w:fldSimple w:instr=" STYLEREF &quot;Edition number&quot; \* MERGEFORMAT ">
      <w:r w:rsidR="00C33F01">
        <w:t>Edition 1.0 (Draft)</w:t>
      </w:r>
    </w:fldSimple>
    <w:r w:rsidR="00E9296D" w:rsidRPr="00C907DF">
      <w:tab/>
    </w:r>
    <w:r w:rsidR="00E9296D">
      <w:t xml:space="preserve">P </w:t>
    </w:r>
    <w:r w:rsidR="00E9296D" w:rsidRPr="00C907DF">
      <w:rPr>
        <w:rStyle w:val="PageNumber"/>
        <w:szCs w:val="15"/>
      </w:rPr>
      <w:fldChar w:fldCharType="begin"/>
    </w:r>
    <w:r w:rsidR="00E9296D" w:rsidRPr="00C907DF">
      <w:rPr>
        <w:rStyle w:val="PageNumber"/>
        <w:szCs w:val="15"/>
      </w:rPr>
      <w:instrText xml:space="preserve">PAGE  </w:instrText>
    </w:r>
    <w:r w:rsidR="00E9296D" w:rsidRPr="00C907DF">
      <w:rPr>
        <w:rStyle w:val="PageNumber"/>
        <w:szCs w:val="15"/>
      </w:rPr>
      <w:fldChar w:fldCharType="separate"/>
    </w:r>
    <w:r w:rsidR="00C33F01">
      <w:rPr>
        <w:rStyle w:val="PageNumber"/>
        <w:szCs w:val="15"/>
      </w:rPr>
      <w:t>4</w:t>
    </w:r>
    <w:r w:rsidR="00E9296D" w:rsidRPr="00C907DF">
      <w:rPr>
        <w:rStyle w:val="PageNumber"/>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35DA95" w14:textId="77777777" w:rsidR="00E9296D" w:rsidRDefault="00E9296D" w:rsidP="00C716E5">
    <w:pPr>
      <w:pStyle w:val="Footer"/>
    </w:pPr>
  </w:p>
  <w:p w14:paraId="680F8415" w14:textId="77777777" w:rsidR="00E9296D" w:rsidRDefault="00E9296D" w:rsidP="00C716E5">
    <w:pPr>
      <w:pStyle w:val="Footerportrait"/>
    </w:pPr>
  </w:p>
  <w:p w14:paraId="364B0082" w14:textId="77777777" w:rsidR="00E9296D" w:rsidRPr="00C907DF" w:rsidRDefault="00170C69" w:rsidP="00C716E5">
    <w:pPr>
      <w:pStyle w:val="Footerportrait"/>
    </w:pPr>
    <w:fldSimple w:instr=" STYLEREF &quot;Document type&quot; \* MERGEFORMAT ">
      <w:r w:rsidR="00C33F01">
        <w:t>IALA Guideline</w:t>
      </w:r>
    </w:fldSimple>
    <w:r w:rsidR="00E9296D" w:rsidRPr="00C907DF">
      <w:t xml:space="preserve"> </w:t>
    </w:r>
    <w:fldSimple w:instr=" STYLEREF &quot;Document number&quot; \* MERGEFORMAT ">
      <w:r w:rsidR="00C33F01">
        <w:t>1???</w:t>
      </w:r>
    </w:fldSimple>
    <w:r w:rsidR="00E9296D" w:rsidRPr="00C907DF">
      <w:t xml:space="preserve"> –</w:t>
    </w:r>
    <w:r w:rsidR="00E9296D">
      <w:t xml:space="preserve"> </w:t>
    </w:r>
    <w:fldSimple w:instr=" STYLEREF &quot;Document name&quot; \* MERGEFORMAT ">
      <w:r w:rsidR="00C33F01">
        <w:t>Marine beacon coverage prediction</w:t>
      </w:r>
    </w:fldSimple>
    <w:r w:rsidR="00E9296D">
      <w:tab/>
    </w:r>
  </w:p>
  <w:p w14:paraId="765F3DC3" w14:textId="77777777" w:rsidR="00E9296D" w:rsidRPr="00C907DF" w:rsidRDefault="00170C69" w:rsidP="00C716E5">
    <w:pPr>
      <w:pStyle w:val="Footerportrait"/>
    </w:pPr>
    <w:fldSimple w:instr=" STYLEREF &quot;Edition number&quot; \* MERGEFORMAT ">
      <w:r w:rsidR="00C33F01">
        <w:t>Edition 1.0 (Draft)</w:t>
      </w:r>
    </w:fldSimple>
    <w:r w:rsidR="00E9296D">
      <w:t xml:space="preserve">  </w:t>
    </w:r>
    <w:fldSimple w:instr=" STYLEREF &quot;Document date&quot; \* MERGEFORMAT ">
      <w:r w:rsidR="00C33F01">
        <w:t>Document date</w:t>
      </w:r>
    </w:fldSimple>
    <w:r w:rsidR="00E9296D">
      <w:tab/>
    </w:r>
    <w:r w:rsidR="00E9296D">
      <w:rPr>
        <w:rStyle w:val="PageNumber"/>
        <w:szCs w:val="15"/>
      </w:rPr>
      <w:t xml:space="preserve">P </w:t>
    </w:r>
    <w:r w:rsidR="00E9296D" w:rsidRPr="00C907DF">
      <w:rPr>
        <w:rStyle w:val="PageNumber"/>
        <w:szCs w:val="15"/>
      </w:rPr>
      <w:fldChar w:fldCharType="begin"/>
    </w:r>
    <w:r w:rsidR="00E9296D" w:rsidRPr="00C907DF">
      <w:rPr>
        <w:rStyle w:val="PageNumber"/>
        <w:szCs w:val="15"/>
      </w:rPr>
      <w:instrText xml:space="preserve">PAGE  </w:instrText>
    </w:r>
    <w:r w:rsidR="00E9296D" w:rsidRPr="00C907DF">
      <w:rPr>
        <w:rStyle w:val="PageNumber"/>
        <w:szCs w:val="15"/>
      </w:rPr>
      <w:fldChar w:fldCharType="separate"/>
    </w:r>
    <w:r w:rsidR="00C33F01">
      <w:rPr>
        <w:rStyle w:val="PageNumber"/>
        <w:szCs w:val="15"/>
      </w:rPr>
      <w:t>17</w:t>
    </w:r>
    <w:r w:rsidR="00E9296D" w:rsidRPr="00C907DF">
      <w:rPr>
        <w:rStyle w:val="PageNumber"/>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A88177D" w14:textId="77777777" w:rsidR="0095559B" w:rsidRDefault="0095559B" w:rsidP="003274DB">
      <w:r>
        <w:separator/>
      </w:r>
    </w:p>
    <w:p w14:paraId="31F9FCEA" w14:textId="77777777" w:rsidR="0095559B" w:rsidRDefault="0095559B"/>
  </w:footnote>
  <w:footnote w:type="continuationSeparator" w:id="0">
    <w:p w14:paraId="65AD56A5" w14:textId="77777777" w:rsidR="0095559B" w:rsidRDefault="0095559B" w:rsidP="003274DB">
      <w:r>
        <w:continuationSeparator/>
      </w:r>
    </w:p>
    <w:p w14:paraId="45E1DF1E" w14:textId="77777777" w:rsidR="0095559B" w:rsidRDefault="0095559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299051" w14:textId="77777777" w:rsidR="00E9296D" w:rsidRDefault="0095559B">
    <w:pPr>
      <w:pStyle w:val="Header"/>
    </w:pPr>
    <w:r>
      <w:rPr>
        <w:noProof/>
      </w:rPr>
      <w:pict w14:anchorId="27BAF9C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50" type="#_x0000_t136" style="position:absolute;margin-left:0;margin-top:0;width:604.45pt;height:54.95pt;rotation:315;z-index:-251615232;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1EFF9C" w14:textId="77777777" w:rsidR="00E9296D" w:rsidRDefault="0095559B">
    <w:pPr>
      <w:pStyle w:val="Header"/>
    </w:pPr>
    <w:r>
      <w:rPr>
        <w:noProof/>
      </w:rPr>
      <w:pict w14:anchorId="626FDD6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 o:spid="_x0000_s2059" type="#_x0000_t136" style="position:absolute;margin-left:0;margin-top:0;width:604.45pt;height:54.95pt;rotation:315;z-index:-251596800;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B995C1" w14:textId="77777777" w:rsidR="00E9296D" w:rsidRPr="00667792" w:rsidRDefault="0095559B" w:rsidP="00667792">
    <w:pPr>
      <w:pStyle w:val="Header"/>
    </w:pPr>
    <w:r>
      <w:rPr>
        <w:noProof/>
      </w:rPr>
      <w:pict w14:anchorId="788DE48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 o:spid="_x0000_s2058" type="#_x0000_t136" style="position:absolute;margin-left:0;margin-top:0;width:604.45pt;height:54.95pt;rotation:315;z-index:-251598848;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r w:rsidR="00E9296D">
      <w:rPr>
        <w:noProof/>
        <w:lang w:val="en-IE" w:eastAsia="en-IE"/>
      </w:rPr>
      <w:drawing>
        <wp:anchor distT="0" distB="0" distL="114300" distR="114300" simplePos="0" relativeHeight="251678720" behindDoc="1" locked="0" layoutInCell="1" allowOverlap="1" wp14:anchorId="7684F1A5" wp14:editId="653748A4">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A0404C" w14:textId="77777777" w:rsidR="00E9296D" w:rsidRDefault="0095559B">
    <w:pPr>
      <w:pStyle w:val="Header"/>
    </w:pPr>
    <w:r>
      <w:rPr>
        <w:noProof/>
      </w:rPr>
      <w:pict w14:anchorId="14EAA59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 o:spid="_x0000_s2060" type="#_x0000_t136" style="position:absolute;margin-left:0;margin-top:0;width:604.45pt;height:54.95pt;rotation:315;z-index:-251594752;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57F9DF" w14:textId="6AF6AA43" w:rsidR="00C33F01" w:rsidRDefault="00C33F01" w:rsidP="00370B5A">
    <w:pPr>
      <w:pStyle w:val="Header"/>
      <w:jc w:val="right"/>
    </w:pPr>
    <w:r>
      <w:t>ENAV19-14.1.15</w:t>
    </w:r>
  </w:p>
  <w:p w14:paraId="4DF9C874" w14:textId="13EEABE0" w:rsidR="00E9296D" w:rsidRDefault="00C33F01" w:rsidP="00370B5A">
    <w:pPr>
      <w:pStyle w:val="Header"/>
      <w:jc w:val="right"/>
    </w:pPr>
    <w:r>
      <w:t xml:space="preserve">Formerly </w:t>
    </w:r>
    <w:r w:rsidR="00E9296D">
      <w:t>ENAV19-13.7 Rev1 Aug2016</w:t>
    </w:r>
  </w:p>
  <w:p w14:paraId="4BC72514" w14:textId="77777777" w:rsidR="00E9296D" w:rsidRPr="0079129D" w:rsidRDefault="00E9296D" w:rsidP="00370B5A">
    <w:pPr>
      <w:pStyle w:val="Header"/>
      <w:jc w:val="right"/>
      <w:rPr>
        <w:color w:val="FF0000"/>
      </w:rPr>
    </w:pPr>
    <w:r>
      <w:rPr>
        <w:color w:val="FF0000"/>
      </w:rPr>
      <w:t xml:space="preserve">Please note comments in track changes all </w:t>
    </w:r>
    <w:proofErr w:type="spellStart"/>
    <w:r>
      <w:rPr>
        <w:color w:val="FF0000"/>
      </w:rPr>
      <w:t>markup</w:t>
    </w:r>
    <w:proofErr w:type="spellEnd"/>
  </w:p>
  <w:p w14:paraId="31E6574C" w14:textId="77777777" w:rsidR="00E9296D" w:rsidRPr="00ED2A8D" w:rsidRDefault="0095559B" w:rsidP="00370B5A">
    <w:pPr>
      <w:pStyle w:val="Header"/>
      <w:jc w:val="right"/>
    </w:pPr>
    <w:r>
      <w:rPr>
        <w:noProof/>
      </w:rPr>
      <w:pict w14:anchorId="4B0D620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49" type="#_x0000_t136" style="position:absolute;left:0;text-align:left;margin-left:0;margin-top:0;width:604.45pt;height:54.95pt;rotation:315;z-index:-251617280;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r w:rsidR="00E9296D" w:rsidRPr="00442889">
      <w:rPr>
        <w:noProof/>
        <w:lang w:val="en-IE" w:eastAsia="en-IE"/>
      </w:rPr>
      <w:drawing>
        <wp:anchor distT="0" distB="0" distL="114300" distR="114300" simplePos="0" relativeHeight="251657214" behindDoc="1" locked="0" layoutInCell="1" allowOverlap="1" wp14:anchorId="5B763707" wp14:editId="6129DFE2">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6CAFBFB8" w14:textId="77777777" w:rsidR="00E9296D" w:rsidRPr="00ED2A8D" w:rsidRDefault="00E9296D" w:rsidP="008747E0">
    <w:pPr>
      <w:pStyle w:val="Header"/>
    </w:pPr>
  </w:p>
  <w:p w14:paraId="2D5AF021" w14:textId="77777777" w:rsidR="00E9296D" w:rsidRDefault="00E9296D" w:rsidP="008747E0">
    <w:pPr>
      <w:pStyle w:val="Header"/>
    </w:pPr>
  </w:p>
  <w:p w14:paraId="14BAE640" w14:textId="77777777" w:rsidR="00E9296D" w:rsidRDefault="00E9296D" w:rsidP="008747E0">
    <w:pPr>
      <w:pStyle w:val="Header"/>
    </w:pPr>
  </w:p>
  <w:p w14:paraId="611FEAEE" w14:textId="77777777" w:rsidR="00E9296D" w:rsidRDefault="00E9296D" w:rsidP="008747E0">
    <w:pPr>
      <w:pStyle w:val="Header"/>
    </w:pPr>
  </w:p>
  <w:p w14:paraId="2084A9D1" w14:textId="77777777" w:rsidR="00E9296D" w:rsidRDefault="00E9296D" w:rsidP="008747E0">
    <w:pPr>
      <w:pStyle w:val="Header"/>
    </w:pPr>
  </w:p>
  <w:p w14:paraId="1C738C59" w14:textId="77777777" w:rsidR="00E9296D" w:rsidRDefault="00E9296D" w:rsidP="008747E0">
    <w:pPr>
      <w:pStyle w:val="Header"/>
    </w:pPr>
    <w:r>
      <w:rPr>
        <w:noProof/>
        <w:lang w:val="en-IE" w:eastAsia="en-IE"/>
      </w:rPr>
      <w:drawing>
        <wp:anchor distT="0" distB="0" distL="114300" distR="114300" simplePos="0" relativeHeight="251656189" behindDoc="1" locked="0" layoutInCell="1" allowOverlap="1" wp14:anchorId="1E7EC0DD" wp14:editId="7FB99701">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17DBE882" w14:textId="77777777" w:rsidR="00E9296D" w:rsidRPr="00ED2A8D" w:rsidRDefault="00E9296D" w:rsidP="008747E0">
    <w:pPr>
      <w:pStyle w:val="Header"/>
    </w:pPr>
  </w:p>
  <w:p w14:paraId="6A738337" w14:textId="77777777" w:rsidR="00E9296D" w:rsidRPr="00ED2A8D" w:rsidRDefault="00E9296D" w:rsidP="001349DB">
    <w:pPr>
      <w:pStyle w:val="Header"/>
      <w:spacing w:line="360" w:lineRule="exac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3CE51C" w14:textId="77777777" w:rsidR="00E9296D" w:rsidRDefault="0095559B">
    <w:pPr>
      <w:pStyle w:val="Header"/>
    </w:pPr>
    <w:r>
      <w:rPr>
        <w:noProof/>
      </w:rPr>
      <w:pict w14:anchorId="44B3660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2051" type="#_x0000_t136" style="position:absolute;margin-left:0;margin-top:0;width:604.45pt;height:54.95pt;rotation:315;z-index:-251613184;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r w:rsidR="00E9296D">
      <w:rPr>
        <w:noProof/>
        <w:lang w:val="en-IE" w:eastAsia="en-IE"/>
      </w:rPr>
      <w:drawing>
        <wp:anchor distT="0" distB="0" distL="114300" distR="114300" simplePos="0" relativeHeight="251688960" behindDoc="1" locked="0" layoutInCell="1" allowOverlap="1" wp14:anchorId="315F1EF9" wp14:editId="293401E9">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232E10F5" w14:textId="77777777" w:rsidR="00E9296D" w:rsidRDefault="00E9296D">
    <w:pPr>
      <w:pStyle w:val="Header"/>
    </w:pPr>
  </w:p>
  <w:p w14:paraId="394D39CE" w14:textId="77777777" w:rsidR="00E9296D" w:rsidRDefault="00E9296D">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5456C3" w14:textId="77777777" w:rsidR="00E9296D" w:rsidRDefault="0095559B">
    <w:pPr>
      <w:pStyle w:val="Header"/>
    </w:pPr>
    <w:r>
      <w:rPr>
        <w:noProof/>
      </w:rPr>
      <w:pict w14:anchorId="5654C62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 o:spid="_x0000_s2053" type="#_x0000_t136" style="position:absolute;margin-left:0;margin-top:0;width:604.45pt;height:54.95pt;rotation:315;z-index:-251609088;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1416F9" w14:textId="77777777" w:rsidR="00E9296D" w:rsidRPr="00ED2A8D" w:rsidRDefault="0095559B" w:rsidP="008747E0">
    <w:pPr>
      <w:pStyle w:val="Header"/>
    </w:pPr>
    <w:r>
      <w:rPr>
        <w:noProof/>
      </w:rPr>
      <w:pict w14:anchorId="0D42A9E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 o:spid="_x0000_s2052" type="#_x0000_t136" style="position:absolute;margin-left:0;margin-top:0;width:604.45pt;height:54.95pt;rotation:315;z-index:-251611136;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r w:rsidR="00E9296D">
      <w:rPr>
        <w:noProof/>
        <w:lang w:val="en-IE" w:eastAsia="en-IE"/>
      </w:rPr>
      <w:drawing>
        <wp:anchor distT="0" distB="0" distL="114300" distR="114300" simplePos="0" relativeHeight="251658752" behindDoc="1" locked="0" layoutInCell="1" allowOverlap="1" wp14:anchorId="517CAD54" wp14:editId="37124203">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BC1FD5D" w14:textId="77777777" w:rsidR="00E9296D" w:rsidRPr="00ED2A8D" w:rsidRDefault="00E9296D" w:rsidP="008747E0">
    <w:pPr>
      <w:pStyle w:val="Header"/>
    </w:pPr>
  </w:p>
  <w:p w14:paraId="6C21A762" w14:textId="77777777" w:rsidR="00E9296D" w:rsidRDefault="00E9296D" w:rsidP="008747E0">
    <w:pPr>
      <w:pStyle w:val="Header"/>
    </w:pPr>
  </w:p>
  <w:p w14:paraId="621F4932" w14:textId="77777777" w:rsidR="00E9296D" w:rsidRDefault="00E9296D" w:rsidP="008747E0">
    <w:pPr>
      <w:pStyle w:val="Header"/>
    </w:pPr>
  </w:p>
  <w:p w14:paraId="6547E0E6" w14:textId="77777777" w:rsidR="00E9296D" w:rsidRDefault="00E9296D" w:rsidP="008747E0">
    <w:pPr>
      <w:pStyle w:val="Header"/>
    </w:pPr>
  </w:p>
  <w:p w14:paraId="118BBA50" w14:textId="77777777" w:rsidR="00E9296D" w:rsidRPr="00441393" w:rsidRDefault="00E9296D" w:rsidP="00441393">
    <w:pPr>
      <w:pStyle w:val="Contents"/>
    </w:pPr>
    <w:r>
      <w:t>DOCUMENT REVISION</w:t>
    </w:r>
  </w:p>
  <w:p w14:paraId="387751F9" w14:textId="77777777" w:rsidR="00E9296D" w:rsidRPr="00ED2A8D" w:rsidRDefault="00E9296D" w:rsidP="008747E0">
    <w:pPr>
      <w:pStyle w:val="Header"/>
    </w:pPr>
  </w:p>
  <w:p w14:paraId="54909F2A" w14:textId="77777777" w:rsidR="00E9296D" w:rsidRPr="00AC33A2" w:rsidRDefault="00E9296D" w:rsidP="0078486B">
    <w:pPr>
      <w:pStyle w:val="Header"/>
      <w:spacing w:line="140" w:lineRule="exac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EAF792" w14:textId="77777777" w:rsidR="00E9296D" w:rsidRDefault="0095559B">
    <w:pPr>
      <w:pStyle w:val="Header"/>
    </w:pPr>
    <w:r>
      <w:rPr>
        <w:noProof/>
      </w:rPr>
      <w:pict w14:anchorId="527B466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 o:spid="_x0000_s2054" type="#_x0000_t136" style="position:absolute;margin-left:0;margin-top:0;width:604.45pt;height:54.95pt;rotation:315;z-index:-251607040;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F832B3" w14:textId="77777777" w:rsidR="00E9296D" w:rsidRDefault="0095559B">
    <w:pPr>
      <w:pStyle w:val="Header"/>
    </w:pPr>
    <w:r>
      <w:rPr>
        <w:noProof/>
      </w:rPr>
      <w:pict w14:anchorId="5E48CB0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 o:spid="_x0000_s2056" type="#_x0000_t136" style="position:absolute;margin-left:0;margin-top:0;width:604.45pt;height:54.95pt;rotation:315;z-index:-251602944;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DF2FCB" w14:textId="77777777" w:rsidR="00E9296D" w:rsidRPr="00ED2A8D" w:rsidRDefault="0095559B" w:rsidP="008747E0">
    <w:pPr>
      <w:pStyle w:val="Header"/>
    </w:pPr>
    <w:r>
      <w:rPr>
        <w:noProof/>
      </w:rPr>
      <w:pict w14:anchorId="29A20E8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 o:spid="_x0000_s2055" type="#_x0000_t136" style="position:absolute;margin-left:0;margin-top:0;width:604.45pt;height:54.95pt;rotation:315;z-index:-251604992;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r w:rsidR="00E9296D">
      <w:rPr>
        <w:noProof/>
        <w:lang w:val="en-IE" w:eastAsia="en-IE"/>
      </w:rPr>
      <w:drawing>
        <wp:anchor distT="0" distB="0" distL="114300" distR="114300" simplePos="0" relativeHeight="251674624" behindDoc="1" locked="0" layoutInCell="1" allowOverlap="1" wp14:anchorId="49135CD4" wp14:editId="06DD156C">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3C398ADD" w14:textId="77777777" w:rsidR="00E9296D" w:rsidRPr="00ED2A8D" w:rsidRDefault="00E9296D" w:rsidP="008747E0">
    <w:pPr>
      <w:pStyle w:val="Header"/>
    </w:pPr>
  </w:p>
  <w:p w14:paraId="06910D8A" w14:textId="77777777" w:rsidR="00E9296D" w:rsidRDefault="00E9296D" w:rsidP="008747E0">
    <w:pPr>
      <w:pStyle w:val="Header"/>
    </w:pPr>
  </w:p>
  <w:p w14:paraId="05C12507" w14:textId="77777777" w:rsidR="00E9296D" w:rsidRDefault="00E9296D" w:rsidP="008747E0">
    <w:pPr>
      <w:pStyle w:val="Header"/>
    </w:pPr>
  </w:p>
  <w:p w14:paraId="5DB6325E" w14:textId="77777777" w:rsidR="00E9296D" w:rsidRDefault="00E9296D" w:rsidP="008747E0">
    <w:pPr>
      <w:pStyle w:val="Header"/>
    </w:pPr>
  </w:p>
  <w:p w14:paraId="31B71C29" w14:textId="77777777" w:rsidR="00E9296D" w:rsidRPr="00441393" w:rsidRDefault="00E9296D" w:rsidP="00441393">
    <w:pPr>
      <w:pStyle w:val="Contents"/>
    </w:pPr>
    <w:r>
      <w:t>CONTENTS</w:t>
    </w:r>
  </w:p>
  <w:p w14:paraId="58C02CD5" w14:textId="77777777" w:rsidR="00E9296D" w:rsidRDefault="00E9296D" w:rsidP="0078486B">
    <w:pPr>
      <w:pStyle w:val="Header"/>
      <w:spacing w:line="140" w:lineRule="exact"/>
    </w:pPr>
  </w:p>
  <w:p w14:paraId="5F84BC59" w14:textId="77777777" w:rsidR="00E9296D" w:rsidRPr="00AC33A2" w:rsidRDefault="00E9296D" w:rsidP="0078486B">
    <w:pPr>
      <w:pStyle w:val="Header"/>
      <w:spacing w:line="140" w:lineRule="exact"/>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9DB6F4" w14:textId="77777777" w:rsidR="00E9296D" w:rsidRPr="00ED2A8D" w:rsidRDefault="0095559B" w:rsidP="00C716E5">
    <w:pPr>
      <w:pStyle w:val="Header"/>
    </w:pPr>
    <w:r>
      <w:rPr>
        <w:noProof/>
      </w:rPr>
      <w:pict w14:anchorId="6A8B92F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 o:spid="_x0000_s2057" type="#_x0000_t136" style="position:absolute;margin-left:0;margin-top:0;width:604.45pt;height:54.95pt;rotation:315;z-index:-251600896;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r w:rsidR="00E9296D">
      <w:rPr>
        <w:noProof/>
        <w:lang w:val="en-IE" w:eastAsia="en-IE"/>
      </w:rPr>
      <w:drawing>
        <wp:anchor distT="0" distB="0" distL="114300" distR="114300" simplePos="0" relativeHeight="251697152" behindDoc="1" locked="0" layoutInCell="1" allowOverlap="1" wp14:anchorId="07931469" wp14:editId="3082B678">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5806483" w14:textId="77777777" w:rsidR="00E9296D" w:rsidRPr="00ED2A8D" w:rsidRDefault="00E9296D" w:rsidP="00C716E5">
    <w:pPr>
      <w:pStyle w:val="Header"/>
    </w:pPr>
  </w:p>
  <w:p w14:paraId="599CFD6F" w14:textId="77777777" w:rsidR="00E9296D" w:rsidRDefault="00E9296D" w:rsidP="00C716E5">
    <w:pPr>
      <w:pStyle w:val="Header"/>
    </w:pPr>
  </w:p>
  <w:p w14:paraId="76B3714C" w14:textId="77777777" w:rsidR="00E9296D" w:rsidRDefault="00E9296D" w:rsidP="00C716E5">
    <w:pPr>
      <w:pStyle w:val="Header"/>
    </w:pPr>
  </w:p>
  <w:p w14:paraId="5D0E78FA" w14:textId="77777777" w:rsidR="00E9296D" w:rsidRDefault="00E9296D" w:rsidP="00C716E5">
    <w:pPr>
      <w:pStyle w:val="Header"/>
    </w:pPr>
  </w:p>
  <w:p w14:paraId="0F43FF24" w14:textId="77777777" w:rsidR="00E9296D" w:rsidRPr="00441393" w:rsidRDefault="00E9296D" w:rsidP="00C716E5">
    <w:pPr>
      <w:pStyle w:val="Contents"/>
    </w:pPr>
    <w:r>
      <w:t>CONTENTS</w:t>
    </w:r>
  </w:p>
  <w:p w14:paraId="3E9FC645" w14:textId="77777777" w:rsidR="00E9296D" w:rsidRPr="00ED2A8D" w:rsidRDefault="00E9296D" w:rsidP="00C716E5">
    <w:pPr>
      <w:pStyle w:val="Header"/>
    </w:pPr>
  </w:p>
  <w:p w14:paraId="128615C4" w14:textId="77777777" w:rsidR="00E9296D" w:rsidRPr="00AC33A2" w:rsidRDefault="00E9296D" w:rsidP="00C716E5">
    <w:pPr>
      <w:pStyle w:val="Header"/>
      <w:spacing w:line="140" w:lineRule="exact"/>
    </w:pPr>
  </w:p>
  <w:p w14:paraId="3CFDCBBB" w14:textId="77777777" w:rsidR="00E9296D" w:rsidRDefault="00E9296D">
    <w:pPr>
      <w:pStyle w:val="Header"/>
    </w:pPr>
    <w:r>
      <w:rPr>
        <w:noProof/>
        <w:lang w:val="en-IE" w:eastAsia="en-IE"/>
      </w:rPr>
      <w:drawing>
        <wp:anchor distT="0" distB="0" distL="114300" distR="114300" simplePos="0" relativeHeight="251695104" behindDoc="1" locked="0" layoutInCell="1" allowOverlap="1" wp14:anchorId="219EE785" wp14:editId="6824AF8F">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A8CE824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3AF2D7A8"/>
    <w:lvl w:ilvl="0">
      <w:start w:val="1"/>
      <w:numFmt w:val="decimal"/>
      <w:lvlText w:val="%1."/>
      <w:lvlJc w:val="left"/>
      <w:pPr>
        <w:tabs>
          <w:tab w:val="num" w:pos="1800"/>
        </w:tabs>
        <w:ind w:left="1800" w:hanging="360"/>
      </w:pPr>
    </w:lvl>
  </w:abstractNum>
  <w:abstractNum w:abstractNumId="2">
    <w:nsid w:val="FFFFFF7D"/>
    <w:multiLevelType w:val="singleLevel"/>
    <w:tmpl w:val="FC9A43D6"/>
    <w:lvl w:ilvl="0">
      <w:start w:val="1"/>
      <w:numFmt w:val="decimal"/>
      <w:lvlText w:val="%1."/>
      <w:lvlJc w:val="left"/>
      <w:pPr>
        <w:tabs>
          <w:tab w:val="num" w:pos="1440"/>
        </w:tabs>
        <w:ind w:left="1440" w:hanging="360"/>
      </w:pPr>
    </w:lvl>
  </w:abstractNum>
  <w:abstractNum w:abstractNumId="3">
    <w:nsid w:val="FFFFFF7F"/>
    <w:multiLevelType w:val="singleLevel"/>
    <w:tmpl w:val="B974478C"/>
    <w:lvl w:ilvl="0">
      <w:start w:val="1"/>
      <w:numFmt w:val="decimal"/>
      <w:lvlText w:val="%1."/>
      <w:lvlJc w:val="left"/>
      <w:pPr>
        <w:tabs>
          <w:tab w:val="num" w:pos="720"/>
        </w:tabs>
        <w:ind w:left="720" w:hanging="360"/>
      </w:pPr>
    </w:lvl>
  </w:abstractNum>
  <w:abstractNum w:abstractNumId="4">
    <w:nsid w:val="FFFFFF80"/>
    <w:multiLevelType w:val="singleLevel"/>
    <w:tmpl w:val="F3ACCD1A"/>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1410FE9E"/>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ADF2CD82"/>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8EBEA2FA"/>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nsid w:val="FFFFFF89"/>
    <w:multiLevelType w:val="singleLevel"/>
    <w:tmpl w:val="A3F460D2"/>
    <w:lvl w:ilvl="0">
      <w:start w:val="1"/>
      <w:numFmt w:val="bullet"/>
      <w:lvlText w:val=""/>
      <w:lvlJc w:val="left"/>
      <w:pPr>
        <w:tabs>
          <w:tab w:val="num" w:pos="360"/>
        </w:tabs>
        <w:ind w:left="360" w:hanging="360"/>
      </w:pPr>
      <w:rPr>
        <w:rFonts w:ascii="Symbol" w:hAnsi="Symbol" w:hint="default"/>
      </w:rPr>
    </w:lvl>
  </w:abstractNum>
  <w:abstractNum w:abstractNumId="1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03C12B0E"/>
    <w:multiLevelType w:val="hybridMultilevel"/>
    <w:tmpl w:val="A766648E"/>
    <w:lvl w:ilvl="0" w:tplc="FE965BD0">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8">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4">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37B25715"/>
    <w:multiLevelType w:val="hybridMultilevel"/>
    <w:tmpl w:val="1E04E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nsid w:val="47D203C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7">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nsid w:val="67AB4D84"/>
    <w:multiLevelType w:val="multilevel"/>
    <w:tmpl w:val="495221B4"/>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2694"/>
        </w:tabs>
        <w:ind w:left="3686"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9">
    <w:nsid w:val="6ABC0B58"/>
    <w:multiLevelType w:val="hybridMultilevel"/>
    <w:tmpl w:val="D1AC2F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41">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3">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4"/>
  </w:num>
  <w:num w:numId="2">
    <w:abstractNumId w:val="43"/>
  </w:num>
  <w:num w:numId="3">
    <w:abstractNumId w:val="16"/>
  </w:num>
  <w:num w:numId="4">
    <w:abstractNumId w:val="28"/>
  </w:num>
  <w:num w:numId="5">
    <w:abstractNumId w:val="25"/>
  </w:num>
  <w:num w:numId="6">
    <w:abstractNumId w:val="17"/>
  </w:num>
  <w:num w:numId="7">
    <w:abstractNumId w:val="23"/>
  </w:num>
  <w:num w:numId="8">
    <w:abstractNumId w:val="31"/>
  </w:num>
  <w:num w:numId="9">
    <w:abstractNumId w:val="15"/>
  </w:num>
  <w:num w:numId="10">
    <w:abstractNumId w:val="22"/>
  </w:num>
  <w:num w:numId="11">
    <w:abstractNumId w:val="26"/>
  </w:num>
  <w:num w:numId="12">
    <w:abstractNumId w:val="13"/>
  </w:num>
  <w:num w:numId="13">
    <w:abstractNumId w:val="32"/>
  </w:num>
  <w:num w:numId="14">
    <w:abstractNumId w:val="8"/>
  </w:num>
  <w:num w:numId="15">
    <w:abstractNumId w:val="38"/>
  </w:num>
  <w:num w:numId="16">
    <w:abstractNumId w:val="40"/>
  </w:num>
  <w:num w:numId="17">
    <w:abstractNumId w:val="21"/>
  </w:num>
  <w:num w:numId="18">
    <w:abstractNumId w:val="20"/>
  </w:num>
  <w:num w:numId="19">
    <w:abstractNumId w:val="41"/>
  </w:num>
  <w:num w:numId="20">
    <w:abstractNumId w:val="30"/>
  </w:num>
  <w:num w:numId="21">
    <w:abstractNumId w:val="11"/>
  </w:num>
  <w:num w:numId="22">
    <w:abstractNumId w:val="19"/>
  </w:num>
  <w:num w:numId="23">
    <w:abstractNumId w:val="36"/>
  </w:num>
  <w:num w:numId="24">
    <w:abstractNumId w:val="18"/>
  </w:num>
  <w:num w:numId="25">
    <w:abstractNumId w:val="42"/>
  </w:num>
  <w:num w:numId="26">
    <w:abstractNumId w:val="10"/>
  </w:num>
  <w:num w:numId="27">
    <w:abstractNumId w:val="27"/>
  </w:num>
  <w:num w:numId="28">
    <w:abstractNumId w:val="24"/>
  </w:num>
  <w:num w:numId="29">
    <w:abstractNumId w:val="35"/>
  </w:num>
  <w:num w:numId="30">
    <w:abstractNumId w:val="37"/>
  </w:num>
  <w:num w:numId="31">
    <w:abstractNumId w:val="14"/>
  </w:num>
  <w:num w:numId="32">
    <w:abstractNumId w:val="0"/>
  </w:num>
  <w:num w:numId="33">
    <w:abstractNumId w:val="1"/>
  </w:num>
  <w:num w:numId="34">
    <w:abstractNumId w:val="2"/>
  </w:num>
  <w:num w:numId="35">
    <w:abstractNumId w:val="4"/>
  </w:num>
  <w:num w:numId="36">
    <w:abstractNumId w:val="5"/>
  </w:num>
  <w:num w:numId="37">
    <w:abstractNumId w:val="6"/>
  </w:num>
  <w:num w:numId="38">
    <w:abstractNumId w:val="7"/>
  </w:num>
  <w:num w:numId="39">
    <w:abstractNumId w:val="3"/>
  </w:num>
  <w:num w:numId="40">
    <w:abstractNumId w:val="9"/>
  </w:num>
  <w:num w:numId="41">
    <w:abstractNumId w:val="33"/>
  </w:num>
  <w:num w:numId="42">
    <w:abstractNumId w:val="12"/>
  </w:num>
  <w:num w:numId="43">
    <w:abstractNumId w:val="29"/>
  </w:num>
  <w:num w:numId="44">
    <w:abstractNumId w:val="39"/>
  </w:num>
  <w:numIdMacAtCleanup w:val="3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chael Hadley">
    <w15:presenceInfo w15:providerId="Windows Live" w15:userId="7edea1fdf255c43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0"/>
  <w:activeWritingStyle w:appName="MSWord" w:lang="en-GB" w:vendorID="2" w:dllVersion="6" w:checkStyle="0"/>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F5551"/>
    <w:rsid w:val="00015649"/>
    <w:rsid w:val="0001616D"/>
    <w:rsid w:val="00016839"/>
    <w:rsid w:val="000174F9"/>
    <w:rsid w:val="000249C2"/>
    <w:rsid w:val="000258F6"/>
    <w:rsid w:val="000379A7"/>
    <w:rsid w:val="00040EB8"/>
    <w:rsid w:val="00043B51"/>
    <w:rsid w:val="00045369"/>
    <w:rsid w:val="00054229"/>
    <w:rsid w:val="0005449E"/>
    <w:rsid w:val="00057B6D"/>
    <w:rsid w:val="000607F8"/>
    <w:rsid w:val="00061A7B"/>
    <w:rsid w:val="00061B99"/>
    <w:rsid w:val="0008654C"/>
    <w:rsid w:val="000904ED"/>
    <w:rsid w:val="00091545"/>
    <w:rsid w:val="000A27A8"/>
    <w:rsid w:val="000B2356"/>
    <w:rsid w:val="000C5CA3"/>
    <w:rsid w:val="000C711B"/>
    <w:rsid w:val="000D2431"/>
    <w:rsid w:val="000D266A"/>
    <w:rsid w:val="000E3954"/>
    <w:rsid w:val="000E3E52"/>
    <w:rsid w:val="000F0F9F"/>
    <w:rsid w:val="000F3F43"/>
    <w:rsid w:val="000F58ED"/>
    <w:rsid w:val="00113BC8"/>
    <w:rsid w:val="00113D5B"/>
    <w:rsid w:val="00113F8F"/>
    <w:rsid w:val="001349DB"/>
    <w:rsid w:val="00135AEB"/>
    <w:rsid w:val="00136E58"/>
    <w:rsid w:val="00145353"/>
    <w:rsid w:val="001547F9"/>
    <w:rsid w:val="001607D8"/>
    <w:rsid w:val="00161325"/>
    <w:rsid w:val="00170C69"/>
    <w:rsid w:val="00182DE2"/>
    <w:rsid w:val="00184427"/>
    <w:rsid w:val="001875B1"/>
    <w:rsid w:val="001A00FD"/>
    <w:rsid w:val="001B2A35"/>
    <w:rsid w:val="001B339A"/>
    <w:rsid w:val="001C650B"/>
    <w:rsid w:val="001C72B5"/>
    <w:rsid w:val="001D2E7A"/>
    <w:rsid w:val="001D3992"/>
    <w:rsid w:val="001D481E"/>
    <w:rsid w:val="001D4A3E"/>
    <w:rsid w:val="001E416D"/>
    <w:rsid w:val="001F4EF8"/>
    <w:rsid w:val="001F5AB1"/>
    <w:rsid w:val="0020095A"/>
    <w:rsid w:val="00201337"/>
    <w:rsid w:val="002022EA"/>
    <w:rsid w:val="002044E9"/>
    <w:rsid w:val="00205B17"/>
    <w:rsid w:val="00205D9B"/>
    <w:rsid w:val="0021334B"/>
    <w:rsid w:val="00215025"/>
    <w:rsid w:val="002204DA"/>
    <w:rsid w:val="0022371A"/>
    <w:rsid w:val="00237785"/>
    <w:rsid w:val="00251FB9"/>
    <w:rsid w:val="002520AD"/>
    <w:rsid w:val="0025660A"/>
    <w:rsid w:val="00257DF8"/>
    <w:rsid w:val="00257E4A"/>
    <w:rsid w:val="0026038D"/>
    <w:rsid w:val="0027175D"/>
    <w:rsid w:val="0029793F"/>
    <w:rsid w:val="002A1C42"/>
    <w:rsid w:val="002A617C"/>
    <w:rsid w:val="002A71CF"/>
    <w:rsid w:val="002B3E9D"/>
    <w:rsid w:val="002B6381"/>
    <w:rsid w:val="002C77F4"/>
    <w:rsid w:val="002D0869"/>
    <w:rsid w:val="002D78FE"/>
    <w:rsid w:val="002E04FB"/>
    <w:rsid w:val="002E4993"/>
    <w:rsid w:val="002E5BAC"/>
    <w:rsid w:val="002E5FD8"/>
    <w:rsid w:val="002E7635"/>
    <w:rsid w:val="002F265A"/>
    <w:rsid w:val="002F5488"/>
    <w:rsid w:val="0030413F"/>
    <w:rsid w:val="00305EFE"/>
    <w:rsid w:val="00312A0D"/>
    <w:rsid w:val="00313B4B"/>
    <w:rsid w:val="00313D85"/>
    <w:rsid w:val="00315CE3"/>
    <w:rsid w:val="0031629B"/>
    <w:rsid w:val="0032091B"/>
    <w:rsid w:val="003225FF"/>
    <w:rsid w:val="003251FE"/>
    <w:rsid w:val="003274DB"/>
    <w:rsid w:val="003275B2"/>
    <w:rsid w:val="00327FBF"/>
    <w:rsid w:val="00332A7B"/>
    <w:rsid w:val="003343E0"/>
    <w:rsid w:val="00335E40"/>
    <w:rsid w:val="00344408"/>
    <w:rsid w:val="00345E37"/>
    <w:rsid w:val="00347F3E"/>
    <w:rsid w:val="003621C3"/>
    <w:rsid w:val="0036382D"/>
    <w:rsid w:val="00366ACF"/>
    <w:rsid w:val="00370B5A"/>
    <w:rsid w:val="00380350"/>
    <w:rsid w:val="00380B4E"/>
    <w:rsid w:val="003816E4"/>
    <w:rsid w:val="0039131E"/>
    <w:rsid w:val="003A04A6"/>
    <w:rsid w:val="003A7759"/>
    <w:rsid w:val="003A7F6E"/>
    <w:rsid w:val="003B03EA"/>
    <w:rsid w:val="003C5B97"/>
    <w:rsid w:val="003C7C34"/>
    <w:rsid w:val="003D0F37"/>
    <w:rsid w:val="003D1C51"/>
    <w:rsid w:val="003D5150"/>
    <w:rsid w:val="003E1A8A"/>
    <w:rsid w:val="003F0766"/>
    <w:rsid w:val="003F1C3A"/>
    <w:rsid w:val="00406055"/>
    <w:rsid w:val="00414698"/>
    <w:rsid w:val="0042565E"/>
    <w:rsid w:val="00425785"/>
    <w:rsid w:val="00432C05"/>
    <w:rsid w:val="00440379"/>
    <w:rsid w:val="00441393"/>
    <w:rsid w:val="00447CF0"/>
    <w:rsid w:val="0045328E"/>
    <w:rsid w:val="00456F10"/>
    <w:rsid w:val="00473303"/>
    <w:rsid w:val="00474746"/>
    <w:rsid w:val="00476942"/>
    <w:rsid w:val="00477D62"/>
    <w:rsid w:val="004871A2"/>
    <w:rsid w:val="00492A8D"/>
    <w:rsid w:val="004944C8"/>
    <w:rsid w:val="004A0EBF"/>
    <w:rsid w:val="004A4EC4"/>
    <w:rsid w:val="004A664F"/>
    <w:rsid w:val="004A7C85"/>
    <w:rsid w:val="004B59B2"/>
    <w:rsid w:val="004C0E4B"/>
    <w:rsid w:val="004C503B"/>
    <w:rsid w:val="004D0F1B"/>
    <w:rsid w:val="004E0BBB"/>
    <w:rsid w:val="004E1D57"/>
    <w:rsid w:val="004E2F16"/>
    <w:rsid w:val="004E6267"/>
    <w:rsid w:val="004F5930"/>
    <w:rsid w:val="004F6196"/>
    <w:rsid w:val="00503044"/>
    <w:rsid w:val="00510B0A"/>
    <w:rsid w:val="00510D04"/>
    <w:rsid w:val="00511985"/>
    <w:rsid w:val="00523666"/>
    <w:rsid w:val="00525922"/>
    <w:rsid w:val="00526234"/>
    <w:rsid w:val="00534F34"/>
    <w:rsid w:val="0053692E"/>
    <w:rsid w:val="005378A6"/>
    <w:rsid w:val="00537906"/>
    <w:rsid w:val="005433AF"/>
    <w:rsid w:val="0054504B"/>
    <w:rsid w:val="00547837"/>
    <w:rsid w:val="00557434"/>
    <w:rsid w:val="005735C4"/>
    <w:rsid w:val="005805D2"/>
    <w:rsid w:val="0059064E"/>
    <w:rsid w:val="00590D2B"/>
    <w:rsid w:val="00595415"/>
    <w:rsid w:val="00597652"/>
    <w:rsid w:val="005A0703"/>
    <w:rsid w:val="005A080B"/>
    <w:rsid w:val="005A23FA"/>
    <w:rsid w:val="005B12A5"/>
    <w:rsid w:val="005C161A"/>
    <w:rsid w:val="005C1BCB"/>
    <w:rsid w:val="005C2312"/>
    <w:rsid w:val="005C4735"/>
    <w:rsid w:val="005C5C63"/>
    <w:rsid w:val="005D03E9"/>
    <w:rsid w:val="005D304B"/>
    <w:rsid w:val="005D6E5D"/>
    <w:rsid w:val="005E081B"/>
    <w:rsid w:val="005E3989"/>
    <w:rsid w:val="005E4659"/>
    <w:rsid w:val="005E657A"/>
    <w:rsid w:val="005F1386"/>
    <w:rsid w:val="005F17C2"/>
    <w:rsid w:val="00600C2B"/>
    <w:rsid w:val="006127AC"/>
    <w:rsid w:val="00614F57"/>
    <w:rsid w:val="00620470"/>
    <w:rsid w:val="00634A78"/>
    <w:rsid w:val="0064067E"/>
    <w:rsid w:val="00642025"/>
    <w:rsid w:val="00645BBA"/>
    <w:rsid w:val="0064634F"/>
    <w:rsid w:val="00646E87"/>
    <w:rsid w:val="0065107F"/>
    <w:rsid w:val="00661946"/>
    <w:rsid w:val="00666061"/>
    <w:rsid w:val="00667424"/>
    <w:rsid w:val="00667792"/>
    <w:rsid w:val="00671677"/>
    <w:rsid w:val="006744D8"/>
    <w:rsid w:val="006750F2"/>
    <w:rsid w:val="006752D6"/>
    <w:rsid w:val="006755C5"/>
    <w:rsid w:val="00675E02"/>
    <w:rsid w:val="0068553C"/>
    <w:rsid w:val="00685F34"/>
    <w:rsid w:val="00695656"/>
    <w:rsid w:val="006975A8"/>
    <w:rsid w:val="006A1012"/>
    <w:rsid w:val="006C1376"/>
    <w:rsid w:val="006C2D53"/>
    <w:rsid w:val="006C48F9"/>
    <w:rsid w:val="006E0E7D"/>
    <w:rsid w:val="006E10BF"/>
    <w:rsid w:val="006E6914"/>
    <w:rsid w:val="006F1C14"/>
    <w:rsid w:val="006F5551"/>
    <w:rsid w:val="00703A6A"/>
    <w:rsid w:val="00722236"/>
    <w:rsid w:val="00725CCA"/>
    <w:rsid w:val="0072737A"/>
    <w:rsid w:val="007311E7"/>
    <w:rsid w:val="00731DEE"/>
    <w:rsid w:val="00734BC6"/>
    <w:rsid w:val="007536AC"/>
    <w:rsid w:val="007541D3"/>
    <w:rsid w:val="007577D7"/>
    <w:rsid w:val="007715E8"/>
    <w:rsid w:val="00776004"/>
    <w:rsid w:val="00777ADC"/>
    <w:rsid w:val="00784846"/>
    <w:rsid w:val="0078486B"/>
    <w:rsid w:val="00785A39"/>
    <w:rsid w:val="00787D8A"/>
    <w:rsid w:val="00790277"/>
    <w:rsid w:val="00791EBC"/>
    <w:rsid w:val="00793577"/>
    <w:rsid w:val="00795637"/>
    <w:rsid w:val="007A446A"/>
    <w:rsid w:val="007A53A6"/>
    <w:rsid w:val="007A6159"/>
    <w:rsid w:val="007B27E9"/>
    <w:rsid w:val="007B2C5B"/>
    <w:rsid w:val="007B2D11"/>
    <w:rsid w:val="007B6700"/>
    <w:rsid w:val="007B6A93"/>
    <w:rsid w:val="007B7BEC"/>
    <w:rsid w:val="007D1805"/>
    <w:rsid w:val="007D2107"/>
    <w:rsid w:val="007D3A42"/>
    <w:rsid w:val="007D5895"/>
    <w:rsid w:val="007D77AB"/>
    <w:rsid w:val="007E28D0"/>
    <w:rsid w:val="007E30DF"/>
    <w:rsid w:val="007E6E87"/>
    <w:rsid w:val="007F2CBA"/>
    <w:rsid w:val="007F4390"/>
    <w:rsid w:val="007F7544"/>
    <w:rsid w:val="00800995"/>
    <w:rsid w:val="008109A6"/>
    <w:rsid w:val="00816F79"/>
    <w:rsid w:val="008172F8"/>
    <w:rsid w:val="008326B2"/>
    <w:rsid w:val="00837887"/>
    <w:rsid w:val="00846831"/>
    <w:rsid w:val="008519A2"/>
    <w:rsid w:val="00863866"/>
    <w:rsid w:val="0086501B"/>
    <w:rsid w:val="00865532"/>
    <w:rsid w:val="00867686"/>
    <w:rsid w:val="008737D3"/>
    <w:rsid w:val="008747E0"/>
    <w:rsid w:val="00876841"/>
    <w:rsid w:val="00882B3C"/>
    <w:rsid w:val="00886365"/>
    <w:rsid w:val="0088783D"/>
    <w:rsid w:val="008972C3"/>
    <w:rsid w:val="00897CE9"/>
    <w:rsid w:val="008A28D9"/>
    <w:rsid w:val="008A30BA"/>
    <w:rsid w:val="008C29E2"/>
    <w:rsid w:val="008C33B5"/>
    <w:rsid w:val="008C3A72"/>
    <w:rsid w:val="008C6969"/>
    <w:rsid w:val="008E1F69"/>
    <w:rsid w:val="008E76B1"/>
    <w:rsid w:val="008F0384"/>
    <w:rsid w:val="008F2A22"/>
    <w:rsid w:val="008F38BB"/>
    <w:rsid w:val="008F4DE0"/>
    <w:rsid w:val="008F57D8"/>
    <w:rsid w:val="00902834"/>
    <w:rsid w:val="009131D2"/>
    <w:rsid w:val="00914E26"/>
    <w:rsid w:val="0091590F"/>
    <w:rsid w:val="00923B4D"/>
    <w:rsid w:val="0092540C"/>
    <w:rsid w:val="00925E0F"/>
    <w:rsid w:val="00930B08"/>
    <w:rsid w:val="00931A57"/>
    <w:rsid w:val="0093492E"/>
    <w:rsid w:val="00940DA5"/>
    <w:rsid w:val="009414E6"/>
    <w:rsid w:val="009518B2"/>
    <w:rsid w:val="0095450F"/>
    <w:rsid w:val="0095559B"/>
    <w:rsid w:val="00956901"/>
    <w:rsid w:val="00962EC1"/>
    <w:rsid w:val="00965860"/>
    <w:rsid w:val="00971591"/>
    <w:rsid w:val="00974564"/>
    <w:rsid w:val="00974E99"/>
    <w:rsid w:val="009764FA"/>
    <w:rsid w:val="00980192"/>
    <w:rsid w:val="00982A22"/>
    <w:rsid w:val="00994D97"/>
    <w:rsid w:val="009A07B7"/>
    <w:rsid w:val="009A32FC"/>
    <w:rsid w:val="009A5C69"/>
    <w:rsid w:val="009B1545"/>
    <w:rsid w:val="009B5023"/>
    <w:rsid w:val="009B785E"/>
    <w:rsid w:val="009B7C20"/>
    <w:rsid w:val="009C26F8"/>
    <w:rsid w:val="009C609E"/>
    <w:rsid w:val="009D054E"/>
    <w:rsid w:val="009D25B8"/>
    <w:rsid w:val="009D26AB"/>
    <w:rsid w:val="009D5F24"/>
    <w:rsid w:val="009E16EC"/>
    <w:rsid w:val="009E2A86"/>
    <w:rsid w:val="009E433C"/>
    <w:rsid w:val="009E46AF"/>
    <w:rsid w:val="009E4A4D"/>
    <w:rsid w:val="009E6578"/>
    <w:rsid w:val="009F081F"/>
    <w:rsid w:val="009F2C42"/>
    <w:rsid w:val="00A005EF"/>
    <w:rsid w:val="00A06A3D"/>
    <w:rsid w:val="00A10EBA"/>
    <w:rsid w:val="00A13E56"/>
    <w:rsid w:val="00A227BF"/>
    <w:rsid w:val="00A24838"/>
    <w:rsid w:val="00A2743E"/>
    <w:rsid w:val="00A30C33"/>
    <w:rsid w:val="00A4308C"/>
    <w:rsid w:val="00A44836"/>
    <w:rsid w:val="00A524B5"/>
    <w:rsid w:val="00A549B3"/>
    <w:rsid w:val="00A56184"/>
    <w:rsid w:val="00A67954"/>
    <w:rsid w:val="00A72ED7"/>
    <w:rsid w:val="00A8083F"/>
    <w:rsid w:val="00A90D86"/>
    <w:rsid w:val="00A91112"/>
    <w:rsid w:val="00A91DBA"/>
    <w:rsid w:val="00A97900"/>
    <w:rsid w:val="00AA1D7A"/>
    <w:rsid w:val="00AA3C92"/>
    <w:rsid w:val="00AA3E01"/>
    <w:rsid w:val="00AB0BFA"/>
    <w:rsid w:val="00AB3C02"/>
    <w:rsid w:val="00AB76B7"/>
    <w:rsid w:val="00AC33A2"/>
    <w:rsid w:val="00AD01B3"/>
    <w:rsid w:val="00AD38F7"/>
    <w:rsid w:val="00AD47CD"/>
    <w:rsid w:val="00AE65F1"/>
    <w:rsid w:val="00AE6BB4"/>
    <w:rsid w:val="00AE74AD"/>
    <w:rsid w:val="00AF159C"/>
    <w:rsid w:val="00B01873"/>
    <w:rsid w:val="00B074AB"/>
    <w:rsid w:val="00B07717"/>
    <w:rsid w:val="00B17253"/>
    <w:rsid w:val="00B2583D"/>
    <w:rsid w:val="00B25AB5"/>
    <w:rsid w:val="00B31A41"/>
    <w:rsid w:val="00B320E0"/>
    <w:rsid w:val="00B35B70"/>
    <w:rsid w:val="00B40199"/>
    <w:rsid w:val="00B4599A"/>
    <w:rsid w:val="00B502FF"/>
    <w:rsid w:val="00B643DF"/>
    <w:rsid w:val="00B65300"/>
    <w:rsid w:val="00B67422"/>
    <w:rsid w:val="00B70A37"/>
    <w:rsid w:val="00B70BD4"/>
    <w:rsid w:val="00B712CA"/>
    <w:rsid w:val="00B73463"/>
    <w:rsid w:val="00B90123"/>
    <w:rsid w:val="00B9016D"/>
    <w:rsid w:val="00BA0F98"/>
    <w:rsid w:val="00BA1517"/>
    <w:rsid w:val="00BA238C"/>
    <w:rsid w:val="00BA4E39"/>
    <w:rsid w:val="00BA67FD"/>
    <w:rsid w:val="00BA7C48"/>
    <w:rsid w:val="00BB7774"/>
    <w:rsid w:val="00BC251F"/>
    <w:rsid w:val="00BC27F6"/>
    <w:rsid w:val="00BC39F4"/>
    <w:rsid w:val="00BD1587"/>
    <w:rsid w:val="00BD4D7B"/>
    <w:rsid w:val="00BD6A20"/>
    <w:rsid w:val="00BD7EE1"/>
    <w:rsid w:val="00BE5568"/>
    <w:rsid w:val="00BE5764"/>
    <w:rsid w:val="00BF1358"/>
    <w:rsid w:val="00C0106D"/>
    <w:rsid w:val="00C133BE"/>
    <w:rsid w:val="00C222B4"/>
    <w:rsid w:val="00C22EDC"/>
    <w:rsid w:val="00C262E4"/>
    <w:rsid w:val="00C33E20"/>
    <w:rsid w:val="00C33F01"/>
    <w:rsid w:val="00C35CF6"/>
    <w:rsid w:val="00C3725B"/>
    <w:rsid w:val="00C522BE"/>
    <w:rsid w:val="00C533EC"/>
    <w:rsid w:val="00C5470E"/>
    <w:rsid w:val="00C55EFB"/>
    <w:rsid w:val="00C56585"/>
    <w:rsid w:val="00C56998"/>
    <w:rsid w:val="00C56B3F"/>
    <w:rsid w:val="00C60E8E"/>
    <w:rsid w:val="00C65492"/>
    <w:rsid w:val="00C716E5"/>
    <w:rsid w:val="00C773D9"/>
    <w:rsid w:val="00C80307"/>
    <w:rsid w:val="00C80ACE"/>
    <w:rsid w:val="00C81162"/>
    <w:rsid w:val="00C83258"/>
    <w:rsid w:val="00C83666"/>
    <w:rsid w:val="00C870B5"/>
    <w:rsid w:val="00C907DF"/>
    <w:rsid w:val="00C91630"/>
    <w:rsid w:val="00C9558A"/>
    <w:rsid w:val="00C966EB"/>
    <w:rsid w:val="00CA04B1"/>
    <w:rsid w:val="00CA2DFC"/>
    <w:rsid w:val="00CA4EC9"/>
    <w:rsid w:val="00CB03D4"/>
    <w:rsid w:val="00CB0617"/>
    <w:rsid w:val="00CB137B"/>
    <w:rsid w:val="00CC35EF"/>
    <w:rsid w:val="00CC41CD"/>
    <w:rsid w:val="00CC4F0F"/>
    <w:rsid w:val="00CC5048"/>
    <w:rsid w:val="00CC6246"/>
    <w:rsid w:val="00CD6397"/>
    <w:rsid w:val="00CE01AA"/>
    <w:rsid w:val="00CE5E46"/>
    <w:rsid w:val="00CF49CC"/>
    <w:rsid w:val="00D04F0B"/>
    <w:rsid w:val="00D1463A"/>
    <w:rsid w:val="00D252C9"/>
    <w:rsid w:val="00D32DDF"/>
    <w:rsid w:val="00D359E3"/>
    <w:rsid w:val="00D3700C"/>
    <w:rsid w:val="00D44BCE"/>
    <w:rsid w:val="00D51509"/>
    <w:rsid w:val="00D529B3"/>
    <w:rsid w:val="00D638E0"/>
    <w:rsid w:val="00D653B1"/>
    <w:rsid w:val="00D74AE1"/>
    <w:rsid w:val="00D74C49"/>
    <w:rsid w:val="00D75D42"/>
    <w:rsid w:val="00D77EE8"/>
    <w:rsid w:val="00D80B20"/>
    <w:rsid w:val="00D865A8"/>
    <w:rsid w:val="00D9012A"/>
    <w:rsid w:val="00D92C2D"/>
    <w:rsid w:val="00D9361E"/>
    <w:rsid w:val="00D94F38"/>
    <w:rsid w:val="00D9743C"/>
    <w:rsid w:val="00DA17CD"/>
    <w:rsid w:val="00DA2EE9"/>
    <w:rsid w:val="00DB25B3"/>
    <w:rsid w:val="00DC05B8"/>
    <w:rsid w:val="00DC3139"/>
    <w:rsid w:val="00DD60F2"/>
    <w:rsid w:val="00DE0893"/>
    <w:rsid w:val="00DE2814"/>
    <w:rsid w:val="00DE6796"/>
    <w:rsid w:val="00DF41B2"/>
    <w:rsid w:val="00E01272"/>
    <w:rsid w:val="00E03067"/>
    <w:rsid w:val="00E03846"/>
    <w:rsid w:val="00E1246E"/>
    <w:rsid w:val="00E16EB4"/>
    <w:rsid w:val="00E20A7D"/>
    <w:rsid w:val="00E21A27"/>
    <w:rsid w:val="00E27A2F"/>
    <w:rsid w:val="00E42A94"/>
    <w:rsid w:val="00E458BF"/>
    <w:rsid w:val="00E54BFB"/>
    <w:rsid w:val="00E54CD7"/>
    <w:rsid w:val="00E706E7"/>
    <w:rsid w:val="00E73B5B"/>
    <w:rsid w:val="00E818AD"/>
    <w:rsid w:val="00E84229"/>
    <w:rsid w:val="00E84965"/>
    <w:rsid w:val="00E90E4E"/>
    <w:rsid w:val="00E9296D"/>
    <w:rsid w:val="00E9391E"/>
    <w:rsid w:val="00EA1052"/>
    <w:rsid w:val="00EA218F"/>
    <w:rsid w:val="00EA4F29"/>
    <w:rsid w:val="00EA5B27"/>
    <w:rsid w:val="00EA5F83"/>
    <w:rsid w:val="00EA6F9D"/>
    <w:rsid w:val="00EB6F3C"/>
    <w:rsid w:val="00EC1E2C"/>
    <w:rsid w:val="00EC2B9A"/>
    <w:rsid w:val="00EC3723"/>
    <w:rsid w:val="00EC568A"/>
    <w:rsid w:val="00EC7C87"/>
    <w:rsid w:val="00ED030E"/>
    <w:rsid w:val="00ED2A8D"/>
    <w:rsid w:val="00ED4450"/>
    <w:rsid w:val="00ED69E3"/>
    <w:rsid w:val="00EE3B4D"/>
    <w:rsid w:val="00EE54CB"/>
    <w:rsid w:val="00EE6424"/>
    <w:rsid w:val="00EF1C54"/>
    <w:rsid w:val="00EF404B"/>
    <w:rsid w:val="00F00376"/>
    <w:rsid w:val="00F01F0C"/>
    <w:rsid w:val="00F02A5A"/>
    <w:rsid w:val="00F07C82"/>
    <w:rsid w:val="00F104C5"/>
    <w:rsid w:val="00F11368"/>
    <w:rsid w:val="00F11764"/>
    <w:rsid w:val="00F157E2"/>
    <w:rsid w:val="00F2451E"/>
    <w:rsid w:val="00F259E2"/>
    <w:rsid w:val="00F41F0B"/>
    <w:rsid w:val="00F527AC"/>
    <w:rsid w:val="00F5503F"/>
    <w:rsid w:val="00F61D83"/>
    <w:rsid w:val="00F64BF1"/>
    <w:rsid w:val="00F65DD1"/>
    <w:rsid w:val="00F707B3"/>
    <w:rsid w:val="00F71135"/>
    <w:rsid w:val="00F74309"/>
    <w:rsid w:val="00F8025C"/>
    <w:rsid w:val="00F82C35"/>
    <w:rsid w:val="00F90461"/>
    <w:rsid w:val="00FA2DDD"/>
    <w:rsid w:val="00FA370D"/>
    <w:rsid w:val="00FA66F1"/>
    <w:rsid w:val="00FB4066"/>
    <w:rsid w:val="00FC34D7"/>
    <w:rsid w:val="00FC378B"/>
    <w:rsid w:val="00FC3977"/>
    <w:rsid w:val="00FC41B4"/>
    <w:rsid w:val="00FD2566"/>
    <w:rsid w:val="00FD2F16"/>
    <w:rsid w:val="00FD6065"/>
    <w:rsid w:val="00FE1D34"/>
    <w:rsid w:val="00FE244F"/>
    <w:rsid w:val="00FE2A6F"/>
    <w:rsid w:val="00FF44A9"/>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4:docId w14:val="0F923546"/>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380350"/>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816F79"/>
    <w:pPr>
      <w:keepNext/>
      <w:keepLines/>
      <w:numPr>
        <w:ilvl w:val="1"/>
        <w:numId w:val="15"/>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816F79"/>
    <w:pPr>
      <w:keepNext/>
      <w:keepLines/>
      <w:numPr>
        <w:ilvl w:val="2"/>
        <w:numId w:val="15"/>
      </w:numPr>
      <w:tabs>
        <w:tab w:val="clear" w:pos="2694"/>
        <w:tab w:val="num" w:pos="0"/>
      </w:tabs>
      <w:spacing w:before="120" w:after="120"/>
      <w:ind w:left="992"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6E10BF"/>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qFormat/>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1"/>
      </w:numPr>
    </w:pPr>
    <w:rPr>
      <w:b/>
      <w:caps/>
      <w:color w:val="407EC9"/>
      <w:sz w:val="28"/>
    </w:rPr>
  </w:style>
  <w:style w:type="paragraph" w:customStyle="1" w:styleId="AnnexCHead2">
    <w:name w:val="Annex C Head 2"/>
    <w:basedOn w:val="Normal"/>
    <w:next w:val="Heading2separationline"/>
    <w:rsid w:val="00A10EBA"/>
    <w:pPr>
      <w:numPr>
        <w:ilvl w:val="1"/>
        <w:numId w:val="21"/>
      </w:numPr>
    </w:pPr>
    <w:rPr>
      <w:b/>
      <w:caps/>
      <w:color w:val="407EC9"/>
      <w:sz w:val="24"/>
    </w:rPr>
  </w:style>
  <w:style w:type="paragraph" w:customStyle="1" w:styleId="AnnexCHead3">
    <w:name w:val="Annex C Head 3"/>
    <w:basedOn w:val="Normal"/>
    <w:rsid w:val="00A10EBA"/>
    <w:pPr>
      <w:numPr>
        <w:ilvl w:val="2"/>
        <w:numId w:val="21"/>
      </w:numPr>
      <w:spacing w:before="120" w:after="120"/>
    </w:pPr>
    <w:rPr>
      <w:b/>
      <w:smallCaps/>
      <w:color w:val="407EC9"/>
      <w:sz w:val="22"/>
    </w:rPr>
  </w:style>
  <w:style w:type="paragraph" w:customStyle="1" w:styleId="AnnexCHead4">
    <w:name w:val="Annex C Head 4"/>
    <w:basedOn w:val="Normal"/>
    <w:next w:val="BodyText"/>
    <w:rsid w:val="00A10EBA"/>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0"/>
      </w:numPr>
    </w:pPr>
    <w:rPr>
      <w:b/>
      <w:caps/>
      <w:color w:val="407EC9"/>
      <w:sz w:val="28"/>
      <w:lang w:eastAsia="de-DE"/>
    </w:rPr>
  </w:style>
  <w:style w:type="paragraph" w:customStyle="1" w:styleId="ANNEXDHEAD2">
    <w:name w:val="ANNEX D HEAD 2"/>
    <w:basedOn w:val="BodyText"/>
    <w:next w:val="Heading2separationline"/>
    <w:rsid w:val="006E10BF"/>
    <w:pPr>
      <w:numPr>
        <w:ilvl w:val="1"/>
        <w:numId w:val="20"/>
      </w:numPr>
      <w:spacing w:before="120"/>
    </w:pPr>
    <w:rPr>
      <w:b/>
      <w:color w:val="407EC9"/>
      <w:sz w:val="24"/>
      <w:lang w:eastAsia="de-DE"/>
    </w:rPr>
  </w:style>
  <w:style w:type="paragraph" w:customStyle="1" w:styleId="AnnexDHead3">
    <w:name w:val="Annex D Head 3"/>
    <w:basedOn w:val="BodyText"/>
    <w:rsid w:val="006E10BF"/>
    <w:pPr>
      <w:numPr>
        <w:ilvl w:val="2"/>
        <w:numId w:val="20"/>
      </w:numPr>
    </w:pPr>
    <w:rPr>
      <w:b/>
      <w:smallCaps/>
      <w:color w:val="407EC9"/>
      <w:lang w:eastAsia="de-DE"/>
    </w:rPr>
  </w:style>
  <w:style w:type="paragraph" w:customStyle="1" w:styleId="AnnexDHead4">
    <w:name w:val="Annex D Head 4"/>
    <w:basedOn w:val="Normal"/>
    <w:next w:val="BodyText"/>
    <w:rsid w:val="006E10BF"/>
    <w:pPr>
      <w:numPr>
        <w:ilvl w:val="3"/>
        <w:numId w:val="20"/>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2"/>
      </w:numPr>
    </w:pPr>
    <w:rPr>
      <w:b/>
      <w:color w:val="407EC9"/>
      <w:sz w:val="28"/>
    </w:rPr>
  </w:style>
  <w:style w:type="paragraph" w:customStyle="1" w:styleId="ANNEXEHEAD2">
    <w:name w:val="ANNEX E HEAD 2"/>
    <w:basedOn w:val="Normal"/>
    <w:next w:val="Heading2separationline"/>
    <w:rsid w:val="009D25B8"/>
    <w:pPr>
      <w:numPr>
        <w:ilvl w:val="1"/>
        <w:numId w:val="22"/>
      </w:numPr>
    </w:pPr>
    <w:rPr>
      <w:b/>
      <w:color w:val="407EC9"/>
      <w:sz w:val="24"/>
    </w:rPr>
  </w:style>
  <w:style w:type="paragraph" w:customStyle="1" w:styleId="ANNEXEHEAD3">
    <w:name w:val="ANNEX E HEAD 3"/>
    <w:basedOn w:val="Normal"/>
    <w:next w:val="BodyText"/>
    <w:rsid w:val="009D25B8"/>
    <w:pPr>
      <w:numPr>
        <w:ilvl w:val="2"/>
        <w:numId w:val="22"/>
      </w:numPr>
    </w:pPr>
    <w:rPr>
      <w:b/>
      <w:color w:val="407EC9"/>
      <w:sz w:val="22"/>
    </w:rPr>
  </w:style>
  <w:style w:type="paragraph" w:customStyle="1" w:styleId="AnnexEHead4">
    <w:name w:val="Annex E Head 4"/>
    <w:basedOn w:val="Normal"/>
    <w:next w:val="BodyText"/>
    <w:rsid w:val="009D25B8"/>
    <w:pPr>
      <w:numPr>
        <w:ilvl w:val="3"/>
        <w:numId w:val="23"/>
      </w:numPr>
    </w:pPr>
    <w:rPr>
      <w:b/>
      <w:color w:val="407EC9"/>
      <w:sz w:val="22"/>
    </w:rPr>
  </w:style>
  <w:style w:type="paragraph" w:customStyle="1" w:styleId="ANNEXFHEAD1">
    <w:name w:val="ANNEX F HEAD 1"/>
    <w:basedOn w:val="Normal"/>
    <w:next w:val="Heading1separatationline"/>
    <w:rsid w:val="009D25B8"/>
    <w:pPr>
      <w:numPr>
        <w:numId w:val="24"/>
      </w:numPr>
    </w:pPr>
    <w:rPr>
      <w:b/>
      <w:color w:val="407EC9"/>
      <w:sz w:val="28"/>
    </w:rPr>
  </w:style>
  <w:style w:type="paragraph" w:customStyle="1" w:styleId="ANNEXFHEAD2">
    <w:name w:val="ANNEX F HEAD 2"/>
    <w:basedOn w:val="Normal"/>
    <w:next w:val="Heading2separationline"/>
    <w:rsid w:val="009D25B8"/>
    <w:pPr>
      <w:numPr>
        <w:ilvl w:val="1"/>
        <w:numId w:val="24"/>
      </w:numPr>
    </w:pPr>
    <w:rPr>
      <w:b/>
      <w:color w:val="407EC9"/>
      <w:sz w:val="24"/>
    </w:rPr>
  </w:style>
  <w:style w:type="paragraph" w:customStyle="1" w:styleId="ANNEXFHEAD3">
    <w:name w:val="ANNEX F HEAD 3"/>
    <w:basedOn w:val="Normal"/>
    <w:next w:val="BodyText"/>
    <w:rsid w:val="009D25B8"/>
    <w:pPr>
      <w:numPr>
        <w:ilvl w:val="2"/>
        <w:numId w:val="24"/>
      </w:numPr>
    </w:pPr>
    <w:rPr>
      <w:b/>
      <w:smallCaps/>
      <w:color w:val="407EC9"/>
      <w:sz w:val="22"/>
    </w:rPr>
  </w:style>
  <w:style w:type="paragraph" w:customStyle="1" w:styleId="AnnexFHead4">
    <w:name w:val="Annex F Head 4"/>
    <w:basedOn w:val="Normal"/>
    <w:next w:val="BodyText"/>
    <w:rsid w:val="009D25B8"/>
    <w:pPr>
      <w:numPr>
        <w:ilvl w:val="3"/>
        <w:numId w:val="24"/>
      </w:numPr>
    </w:pPr>
    <w:rPr>
      <w:b/>
      <w:color w:val="407EC9"/>
      <w:sz w:val="22"/>
    </w:rPr>
  </w:style>
  <w:style w:type="paragraph" w:customStyle="1" w:styleId="ANNEXGHEAD1">
    <w:name w:val="ANNEX G HEAD 1"/>
    <w:basedOn w:val="Normal"/>
    <w:next w:val="Heading1separatationline"/>
    <w:rsid w:val="009D25B8"/>
    <w:pPr>
      <w:numPr>
        <w:numId w:val="25"/>
      </w:numPr>
    </w:pPr>
    <w:rPr>
      <w:b/>
      <w:color w:val="407EC9"/>
      <w:sz w:val="28"/>
    </w:rPr>
  </w:style>
  <w:style w:type="paragraph" w:customStyle="1" w:styleId="ANNEXGHEAD2">
    <w:name w:val="ANNEX G HEAD 2"/>
    <w:basedOn w:val="Normal"/>
    <w:next w:val="Heading2separationline"/>
    <w:rsid w:val="009D25B8"/>
    <w:pPr>
      <w:numPr>
        <w:ilvl w:val="1"/>
        <w:numId w:val="25"/>
      </w:numPr>
    </w:pPr>
    <w:rPr>
      <w:b/>
      <w:color w:val="407EC9"/>
      <w:sz w:val="24"/>
    </w:rPr>
  </w:style>
  <w:style w:type="paragraph" w:customStyle="1" w:styleId="ANNEXGHEAD3">
    <w:name w:val="ANNEX G HEAD 3"/>
    <w:basedOn w:val="Normal"/>
    <w:next w:val="BodyText"/>
    <w:rsid w:val="009D25B8"/>
    <w:pPr>
      <w:numPr>
        <w:ilvl w:val="2"/>
        <w:numId w:val="25"/>
      </w:numPr>
    </w:pPr>
    <w:rPr>
      <w:b/>
      <w:smallCaps/>
      <w:color w:val="407EC9"/>
      <w:sz w:val="22"/>
    </w:rPr>
  </w:style>
  <w:style w:type="paragraph" w:customStyle="1" w:styleId="AnnexGHead4">
    <w:name w:val="Annex G Head 4"/>
    <w:basedOn w:val="Normal"/>
    <w:next w:val="BodyText"/>
    <w:rsid w:val="009D25B8"/>
    <w:pPr>
      <w:numPr>
        <w:ilvl w:val="3"/>
        <w:numId w:val="25"/>
      </w:numPr>
    </w:pPr>
    <w:rPr>
      <w:b/>
      <w:color w:val="407EC9"/>
      <w:sz w:val="22"/>
    </w:rPr>
  </w:style>
  <w:style w:type="paragraph" w:customStyle="1" w:styleId="AnnexHHead1">
    <w:name w:val="Annex H Head 1"/>
    <w:basedOn w:val="Normal"/>
    <w:next w:val="Heading1separatationline"/>
    <w:rsid w:val="009D25B8"/>
    <w:pPr>
      <w:numPr>
        <w:numId w:val="26"/>
      </w:numPr>
    </w:pPr>
    <w:rPr>
      <w:b/>
      <w:caps/>
      <w:color w:val="407EC9"/>
      <w:sz w:val="28"/>
    </w:rPr>
  </w:style>
  <w:style w:type="paragraph" w:customStyle="1" w:styleId="AnnexHHead2">
    <w:name w:val="Annex H Head 2"/>
    <w:basedOn w:val="Normal"/>
    <w:next w:val="Heading2separationline"/>
    <w:rsid w:val="009D25B8"/>
    <w:pPr>
      <w:numPr>
        <w:ilvl w:val="1"/>
        <w:numId w:val="26"/>
      </w:numPr>
    </w:pPr>
    <w:rPr>
      <w:b/>
      <w:caps/>
      <w:color w:val="407EC9"/>
      <w:sz w:val="24"/>
    </w:rPr>
  </w:style>
  <w:style w:type="paragraph" w:customStyle="1" w:styleId="AnnexHHead3">
    <w:name w:val="Annex H Head 3"/>
    <w:basedOn w:val="Normal"/>
    <w:rsid w:val="009D25B8"/>
    <w:pPr>
      <w:numPr>
        <w:ilvl w:val="2"/>
        <w:numId w:val="26"/>
      </w:numPr>
    </w:pPr>
    <w:rPr>
      <w:b/>
      <w:color w:val="407EC9"/>
      <w:sz w:val="22"/>
    </w:rPr>
  </w:style>
  <w:style w:type="paragraph" w:customStyle="1" w:styleId="AnnexHHead4">
    <w:name w:val="Annex H Head 4"/>
    <w:basedOn w:val="Normal"/>
    <w:next w:val="BodyText"/>
    <w:rsid w:val="009D25B8"/>
    <w:pPr>
      <w:numPr>
        <w:ilvl w:val="3"/>
        <w:numId w:val="26"/>
      </w:numPr>
    </w:pPr>
    <w:rPr>
      <w:b/>
      <w:color w:val="407EC9"/>
      <w:sz w:val="22"/>
    </w:rPr>
  </w:style>
  <w:style w:type="paragraph" w:customStyle="1" w:styleId="AnnexIHead1">
    <w:name w:val="Annex I Head 1"/>
    <w:basedOn w:val="Normal"/>
    <w:next w:val="Heading1separatationline"/>
    <w:rsid w:val="009D25B8"/>
    <w:pPr>
      <w:numPr>
        <w:numId w:val="27"/>
      </w:numPr>
    </w:pPr>
    <w:rPr>
      <w:b/>
      <w:caps/>
      <w:color w:val="407EC9"/>
      <w:sz w:val="28"/>
    </w:rPr>
  </w:style>
  <w:style w:type="paragraph" w:customStyle="1" w:styleId="AnnexIHead2">
    <w:name w:val="Annex I Head 2"/>
    <w:basedOn w:val="Normal"/>
    <w:next w:val="Heading2separationline"/>
    <w:rsid w:val="009D25B8"/>
    <w:pPr>
      <w:numPr>
        <w:ilvl w:val="1"/>
        <w:numId w:val="27"/>
      </w:numPr>
    </w:pPr>
    <w:rPr>
      <w:b/>
      <w:caps/>
      <w:color w:val="407EC9"/>
      <w:sz w:val="24"/>
    </w:rPr>
  </w:style>
  <w:style w:type="paragraph" w:customStyle="1" w:styleId="AnnexIHead3">
    <w:name w:val="Annex I Head 3"/>
    <w:basedOn w:val="Normal"/>
    <w:next w:val="BodyText"/>
    <w:rsid w:val="009D25B8"/>
    <w:pPr>
      <w:numPr>
        <w:ilvl w:val="2"/>
        <w:numId w:val="27"/>
      </w:numPr>
    </w:pPr>
    <w:rPr>
      <w:b/>
      <w:smallCaps/>
      <w:color w:val="407EC9"/>
      <w:sz w:val="22"/>
    </w:rPr>
  </w:style>
  <w:style w:type="paragraph" w:customStyle="1" w:styleId="AnnexIHead4">
    <w:name w:val="Annex I Head 4"/>
    <w:basedOn w:val="Normal"/>
    <w:next w:val="BodyText"/>
    <w:rsid w:val="009D25B8"/>
    <w:pPr>
      <w:numPr>
        <w:ilvl w:val="3"/>
        <w:numId w:val="27"/>
      </w:numPr>
    </w:pPr>
    <w:rPr>
      <w:b/>
      <w:color w:val="407EC9"/>
      <w:sz w:val="22"/>
    </w:rPr>
  </w:style>
  <w:style w:type="paragraph" w:customStyle="1" w:styleId="AnnexJHead1">
    <w:name w:val="Annex J Head 1"/>
    <w:basedOn w:val="Normal"/>
    <w:next w:val="Heading1separatationline"/>
    <w:rsid w:val="009D25B8"/>
    <w:pPr>
      <w:numPr>
        <w:numId w:val="28"/>
      </w:numPr>
    </w:pPr>
    <w:rPr>
      <w:b/>
      <w:caps/>
      <w:color w:val="407EC9"/>
      <w:sz w:val="28"/>
    </w:rPr>
  </w:style>
  <w:style w:type="paragraph" w:customStyle="1" w:styleId="AnnexJHead2">
    <w:name w:val="Annex J Head 2"/>
    <w:basedOn w:val="Normal"/>
    <w:next w:val="Heading2separationline"/>
    <w:rsid w:val="009D25B8"/>
    <w:pPr>
      <w:numPr>
        <w:ilvl w:val="1"/>
        <w:numId w:val="28"/>
      </w:numPr>
    </w:pPr>
    <w:rPr>
      <w:b/>
      <w:caps/>
      <w:color w:val="407EC9"/>
      <w:sz w:val="24"/>
    </w:rPr>
  </w:style>
  <w:style w:type="paragraph" w:customStyle="1" w:styleId="AnnexJHead3">
    <w:name w:val="Annex J Head 3"/>
    <w:basedOn w:val="Normal"/>
    <w:next w:val="BodyText"/>
    <w:rsid w:val="009D25B8"/>
    <w:pPr>
      <w:numPr>
        <w:ilvl w:val="2"/>
        <w:numId w:val="28"/>
      </w:numPr>
    </w:pPr>
    <w:rPr>
      <w:b/>
      <w:smallCaps/>
      <w:color w:val="407EC9"/>
      <w:sz w:val="22"/>
    </w:rPr>
  </w:style>
  <w:style w:type="paragraph" w:customStyle="1" w:styleId="AnnexJHead4">
    <w:name w:val="Annex J Head 4"/>
    <w:basedOn w:val="Normal"/>
    <w:next w:val="BodyText"/>
    <w:rsid w:val="009D25B8"/>
    <w:pPr>
      <w:numPr>
        <w:ilvl w:val="3"/>
        <w:numId w:val="28"/>
      </w:numPr>
    </w:pPr>
    <w:rPr>
      <w:b/>
      <w:color w:val="407EC9"/>
      <w:sz w:val="22"/>
    </w:rPr>
  </w:style>
  <w:style w:type="paragraph" w:customStyle="1" w:styleId="AnnexKHead1">
    <w:name w:val="Annex K Head 1"/>
    <w:basedOn w:val="Normal"/>
    <w:next w:val="Heading1separatationline"/>
    <w:rsid w:val="009D25B8"/>
    <w:pPr>
      <w:numPr>
        <w:numId w:val="29"/>
      </w:numPr>
    </w:pPr>
    <w:rPr>
      <w:b/>
      <w:caps/>
      <w:color w:val="407EC9"/>
      <w:sz w:val="28"/>
    </w:rPr>
  </w:style>
  <w:style w:type="paragraph" w:customStyle="1" w:styleId="AnnexKHead2">
    <w:name w:val="Annex K Head 2"/>
    <w:basedOn w:val="Normal"/>
    <w:next w:val="Heading2separationline"/>
    <w:rsid w:val="009D25B8"/>
    <w:pPr>
      <w:numPr>
        <w:ilvl w:val="1"/>
        <w:numId w:val="29"/>
      </w:numPr>
    </w:pPr>
    <w:rPr>
      <w:b/>
      <w:caps/>
      <w:color w:val="407EC9"/>
      <w:sz w:val="24"/>
    </w:rPr>
  </w:style>
  <w:style w:type="paragraph" w:customStyle="1" w:styleId="AnnexKHead3">
    <w:name w:val="Annex K Head 3"/>
    <w:basedOn w:val="Normal"/>
    <w:next w:val="BodyText"/>
    <w:rsid w:val="009D25B8"/>
    <w:pPr>
      <w:numPr>
        <w:ilvl w:val="2"/>
        <w:numId w:val="29"/>
      </w:numPr>
    </w:pPr>
    <w:rPr>
      <w:b/>
      <w:smallCaps/>
      <w:color w:val="407EC9"/>
      <w:sz w:val="22"/>
    </w:rPr>
  </w:style>
  <w:style w:type="paragraph" w:customStyle="1" w:styleId="AnnexKHead4">
    <w:name w:val="Annex K Head 4"/>
    <w:basedOn w:val="Normal"/>
    <w:next w:val="BodyText"/>
    <w:rsid w:val="009D25B8"/>
    <w:pPr>
      <w:numPr>
        <w:ilvl w:val="3"/>
        <w:numId w:val="29"/>
      </w:numPr>
    </w:pPr>
    <w:rPr>
      <w:b/>
      <w:color w:val="407EC9"/>
      <w:sz w:val="22"/>
    </w:rPr>
  </w:style>
  <w:style w:type="paragraph" w:customStyle="1" w:styleId="AnnexLHead1">
    <w:name w:val="Annex L Head 1"/>
    <w:basedOn w:val="Normal"/>
    <w:next w:val="Heading1separatationline"/>
    <w:rsid w:val="009D25B8"/>
    <w:pPr>
      <w:numPr>
        <w:numId w:val="30"/>
      </w:numPr>
    </w:pPr>
    <w:rPr>
      <w:b/>
      <w:caps/>
      <w:color w:val="407EC9"/>
      <w:sz w:val="28"/>
    </w:rPr>
  </w:style>
  <w:style w:type="paragraph" w:customStyle="1" w:styleId="AnnexLHead2">
    <w:name w:val="Annex L Head 2"/>
    <w:basedOn w:val="Normal"/>
    <w:next w:val="BodyText"/>
    <w:rsid w:val="009D25B8"/>
    <w:pPr>
      <w:numPr>
        <w:ilvl w:val="1"/>
        <w:numId w:val="30"/>
      </w:numPr>
    </w:pPr>
    <w:rPr>
      <w:b/>
      <w:caps/>
      <w:color w:val="407EC9"/>
      <w:sz w:val="24"/>
    </w:rPr>
  </w:style>
  <w:style w:type="paragraph" w:customStyle="1" w:styleId="AnnexLHead3">
    <w:name w:val="Annex L Head 3"/>
    <w:basedOn w:val="Normal"/>
    <w:next w:val="BodyText"/>
    <w:rsid w:val="009D25B8"/>
    <w:pPr>
      <w:numPr>
        <w:ilvl w:val="2"/>
        <w:numId w:val="30"/>
      </w:numPr>
    </w:pPr>
    <w:rPr>
      <w:b/>
      <w:smallCaps/>
      <w:color w:val="407EC9"/>
      <w:sz w:val="22"/>
    </w:rPr>
  </w:style>
  <w:style w:type="paragraph" w:customStyle="1" w:styleId="AnnexLHead4">
    <w:name w:val="Annex L Head 4"/>
    <w:basedOn w:val="Normal"/>
    <w:next w:val="BodyText"/>
    <w:rsid w:val="009D25B8"/>
    <w:pPr>
      <w:numPr>
        <w:ilvl w:val="3"/>
        <w:numId w:val="30"/>
      </w:numPr>
    </w:pPr>
    <w:rPr>
      <w:b/>
      <w:color w:val="407EC9"/>
      <w:sz w:val="22"/>
    </w:rPr>
  </w:style>
  <w:style w:type="paragraph" w:customStyle="1" w:styleId="AnnexMHead1">
    <w:name w:val="Annex M Head 1"/>
    <w:basedOn w:val="Normal"/>
    <w:next w:val="Heading1separatationline"/>
    <w:rsid w:val="009D25B8"/>
    <w:pPr>
      <w:numPr>
        <w:numId w:val="31"/>
      </w:numPr>
    </w:pPr>
    <w:rPr>
      <w:b/>
      <w:caps/>
      <w:color w:val="407EC9"/>
      <w:sz w:val="28"/>
    </w:rPr>
  </w:style>
  <w:style w:type="paragraph" w:customStyle="1" w:styleId="AnnexMHead2">
    <w:name w:val="Annex M Head 2"/>
    <w:basedOn w:val="Normal"/>
    <w:next w:val="Heading2separationline"/>
    <w:rsid w:val="009D25B8"/>
    <w:pPr>
      <w:numPr>
        <w:ilvl w:val="1"/>
        <w:numId w:val="31"/>
      </w:numPr>
    </w:pPr>
    <w:rPr>
      <w:b/>
      <w:caps/>
      <w:color w:val="407EC9"/>
      <w:sz w:val="24"/>
    </w:rPr>
  </w:style>
  <w:style w:type="paragraph" w:customStyle="1" w:styleId="AnnexMHead3">
    <w:name w:val="Annex M Head 3"/>
    <w:basedOn w:val="Normal"/>
    <w:next w:val="BodyText"/>
    <w:rsid w:val="009D25B8"/>
    <w:pPr>
      <w:numPr>
        <w:ilvl w:val="2"/>
        <w:numId w:val="31"/>
      </w:numPr>
    </w:pPr>
    <w:rPr>
      <w:b/>
      <w:smallCaps/>
      <w:color w:val="407EC9"/>
      <w:sz w:val="22"/>
    </w:rPr>
  </w:style>
  <w:style w:type="paragraph" w:customStyle="1" w:styleId="AnnexMHead4">
    <w:name w:val="Annex M Head 4"/>
    <w:basedOn w:val="Normal"/>
    <w:next w:val="BodyText"/>
    <w:rsid w:val="009D25B8"/>
    <w:pPr>
      <w:numPr>
        <w:ilvl w:val="3"/>
        <w:numId w:val="31"/>
      </w:numPr>
    </w:pPr>
    <w:rPr>
      <w:b/>
      <w:color w:val="407EC9"/>
      <w:sz w:val="22"/>
    </w:rPr>
  </w:style>
  <w:style w:type="paragraph" w:styleId="ListBullet">
    <w:name w:val="List Bullet"/>
    <w:basedOn w:val="Normal"/>
    <w:autoRedefine/>
    <w:rsid w:val="00614F57"/>
    <w:pPr>
      <w:spacing w:before="60" w:after="80" w:line="240" w:lineRule="auto"/>
      <w:ind w:left="354"/>
    </w:pPr>
    <w:rPr>
      <w:rFonts w:ascii="Arial" w:eastAsia="Times New Roman" w:hAnsi="Arial" w:cs="Arial"/>
      <w:sz w:val="22"/>
      <w:lang w:eastAsia="en-GB"/>
    </w:rPr>
  </w:style>
  <w:style w:type="character" w:customStyle="1" w:styleId="MTEquationSection">
    <w:name w:val="MTEquationSection"/>
    <w:basedOn w:val="DefaultParagraphFont"/>
    <w:rsid w:val="00AB3C02"/>
    <w:rPr>
      <w:vanish/>
      <w:color w:val="FF0000"/>
    </w:rPr>
  </w:style>
  <w:style w:type="paragraph" w:customStyle="1" w:styleId="FigureTable">
    <w:name w:val="Figure/Table"/>
    <w:basedOn w:val="Normal"/>
    <w:rsid w:val="00AB3C02"/>
    <w:pPr>
      <w:spacing w:after="360" w:line="240" w:lineRule="auto"/>
      <w:jc w:val="center"/>
    </w:pPr>
    <w:rPr>
      <w:rFonts w:ascii="Font130" w:eastAsia="Times New Roman" w:hAnsi="Font130" w:cs="Times New Roman"/>
      <w:sz w:val="24"/>
      <w:szCs w:val="20"/>
      <w:lang w:val="en-US"/>
    </w:rPr>
  </w:style>
  <w:style w:type="paragraph" w:styleId="ListParagraph">
    <w:name w:val="List Paragraph"/>
    <w:basedOn w:val="Normal"/>
    <w:uiPriority w:val="34"/>
    <w:rsid w:val="00590D2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15779208">
      <w:bodyDiv w:val="1"/>
      <w:marLeft w:val="0"/>
      <w:marRight w:val="0"/>
      <w:marTop w:val="0"/>
      <w:marBottom w:val="0"/>
      <w:divBdr>
        <w:top w:val="none" w:sz="0" w:space="0" w:color="auto"/>
        <w:left w:val="none" w:sz="0" w:space="0" w:color="auto"/>
        <w:bottom w:val="none" w:sz="0" w:space="0" w:color="auto"/>
        <w:right w:val="none" w:sz="0" w:space="0" w:color="auto"/>
      </w:divBdr>
      <w:divsChild>
        <w:div w:id="150560686">
          <w:marLeft w:val="0"/>
          <w:marRight w:val="0"/>
          <w:marTop w:val="0"/>
          <w:marBottom w:val="0"/>
          <w:divBdr>
            <w:top w:val="none" w:sz="0" w:space="0" w:color="auto"/>
            <w:left w:val="none" w:sz="0" w:space="0" w:color="auto"/>
            <w:bottom w:val="none" w:sz="0" w:space="0" w:color="auto"/>
            <w:right w:val="none" w:sz="0" w:space="0" w:color="auto"/>
          </w:divBdr>
          <w:divsChild>
            <w:div w:id="1922832276">
              <w:marLeft w:val="0"/>
              <w:marRight w:val="0"/>
              <w:marTop w:val="0"/>
              <w:marBottom w:val="0"/>
              <w:divBdr>
                <w:top w:val="none" w:sz="0" w:space="0" w:color="auto"/>
                <w:left w:val="none" w:sz="0" w:space="0" w:color="auto"/>
                <w:bottom w:val="none" w:sz="0" w:space="0" w:color="auto"/>
                <w:right w:val="none" w:sz="0" w:space="0" w:color="auto"/>
              </w:divBdr>
              <w:divsChild>
                <w:div w:id="211964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omments.xml.rels><?xml version="1.0" encoding="UTF-8" standalone="yes"?>
<Relationships xmlns="http://schemas.openxmlformats.org/package/2006/relationships"><Relationship Id="rId1" Type="http://schemas.openxmlformats.org/officeDocument/2006/relationships/hyperlink" Target="mailto:marie-helene.grillet@iala-aism.org" TargetMode="External"/></Relationship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image" Target="media/image6.wmf"/><Relationship Id="rId39" Type="http://schemas.openxmlformats.org/officeDocument/2006/relationships/image" Target="media/image14.wmf"/><Relationship Id="rId3" Type="http://schemas.openxmlformats.org/officeDocument/2006/relationships/styles" Target="styles.xml"/><Relationship Id="rId21" Type="http://schemas.openxmlformats.org/officeDocument/2006/relationships/header" Target="header8.xml"/><Relationship Id="rId34" Type="http://schemas.openxmlformats.org/officeDocument/2006/relationships/image" Target="media/image11.png"/><Relationship Id="rId42" Type="http://schemas.openxmlformats.org/officeDocument/2006/relationships/image" Target="media/image16.wmf"/><Relationship Id="rId47" Type="http://schemas.openxmlformats.org/officeDocument/2006/relationships/header" Target="header11.xm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oleObject" Target="embeddings/oleObject1.bin"/><Relationship Id="rId33" Type="http://schemas.openxmlformats.org/officeDocument/2006/relationships/image" Target="media/image10.png"/><Relationship Id="rId38" Type="http://schemas.openxmlformats.org/officeDocument/2006/relationships/oleObject" Target="embeddings/oleObject6.bin"/><Relationship Id="rId46" Type="http://schemas.openxmlformats.org/officeDocument/2006/relationships/header" Target="header10.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7.xml"/><Relationship Id="rId29" Type="http://schemas.openxmlformats.org/officeDocument/2006/relationships/oleObject" Target="embeddings/oleObject3.bin"/><Relationship Id="rId41"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5.wmf"/><Relationship Id="rId32" Type="http://schemas.openxmlformats.org/officeDocument/2006/relationships/image" Target="media/image9.png"/><Relationship Id="rId37" Type="http://schemas.openxmlformats.org/officeDocument/2006/relationships/image" Target="media/image13.wmf"/><Relationship Id="rId40" Type="http://schemas.openxmlformats.org/officeDocument/2006/relationships/oleObject" Target="embeddings/oleObject7.bin"/><Relationship Id="rId45" Type="http://schemas.openxmlformats.org/officeDocument/2006/relationships/oleObject" Target="embeddings/oleObject9.bin"/><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5.xml"/><Relationship Id="rId28" Type="http://schemas.openxmlformats.org/officeDocument/2006/relationships/image" Target="media/image7.wmf"/><Relationship Id="rId36" Type="http://schemas.openxmlformats.org/officeDocument/2006/relationships/oleObject" Target="embeddings/oleObject5.bin"/><Relationship Id="rId49" Type="http://schemas.openxmlformats.org/officeDocument/2006/relationships/header" Target="header12.xml"/><Relationship Id="rId10" Type="http://schemas.openxmlformats.org/officeDocument/2006/relationships/header" Target="header1.xml"/><Relationship Id="rId19" Type="http://schemas.openxmlformats.org/officeDocument/2006/relationships/header" Target="header6.xml"/><Relationship Id="rId31" Type="http://schemas.openxmlformats.org/officeDocument/2006/relationships/oleObject" Target="embeddings/oleObject4.bin"/><Relationship Id="rId44" Type="http://schemas.openxmlformats.org/officeDocument/2006/relationships/image" Target="media/image17.jpeg"/><Relationship Id="rId52" Type="http://schemas.openxmlformats.org/officeDocument/2006/relationships/theme" Target="theme/theme1.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header" Target="header3.xml"/><Relationship Id="rId22" Type="http://schemas.openxmlformats.org/officeDocument/2006/relationships/header" Target="header9.xml"/><Relationship Id="rId27" Type="http://schemas.openxmlformats.org/officeDocument/2006/relationships/oleObject" Target="embeddings/oleObject2.bin"/><Relationship Id="rId30" Type="http://schemas.openxmlformats.org/officeDocument/2006/relationships/image" Target="media/image8.wmf"/><Relationship Id="rId35" Type="http://schemas.openxmlformats.org/officeDocument/2006/relationships/image" Target="media/image12.wmf"/><Relationship Id="rId43" Type="http://schemas.openxmlformats.org/officeDocument/2006/relationships/oleObject" Target="embeddings/oleObject8.bin"/><Relationship Id="rId48" Type="http://schemas.openxmlformats.org/officeDocument/2006/relationships/footer" Target="footer6.xml"/><Relationship Id="rId8" Type="http://schemas.openxmlformats.org/officeDocument/2006/relationships/comments" Target="comments.xml"/><Relationship Id="rId51" Type="http://schemas.microsoft.com/office/2011/relationships/people" Target="people.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E1E764-6FCE-475A-B1AF-4647144F60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4406</Words>
  <Characters>25116</Characters>
  <Application>Microsoft Office Word</Application>
  <DocSecurity>0</DocSecurity>
  <Lines>209</Lines>
  <Paragraphs>58</Paragraphs>
  <ScaleCrop>false</ScaleCrop>
  <HeadingPairs>
    <vt:vector size="2" baseType="variant">
      <vt:variant>
        <vt:lpstr>Title</vt:lpstr>
      </vt:variant>
      <vt:variant>
        <vt:i4>1</vt:i4>
      </vt:variant>
    </vt:vector>
  </HeadingPairs>
  <TitlesOfParts>
    <vt:vector size="1" baseType="lpstr">
      <vt:lpstr>IALA Guideline 1115</vt:lpstr>
    </vt:vector>
  </TitlesOfParts>
  <Manager>IALA</Manager>
  <Company>IALA</Company>
  <LinksUpToDate>false</LinksUpToDate>
  <CharactersWithSpaces>29464</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keywords/>
  <dc:description/>
  <cp:lastModifiedBy>Seamus Doyle</cp:lastModifiedBy>
  <cp:revision>3</cp:revision>
  <dcterms:created xsi:type="dcterms:W3CDTF">2016-09-21T19:54:00Z</dcterms:created>
  <dcterms:modified xsi:type="dcterms:W3CDTF">2016-09-24T15:17:00Z</dcterms:modified>
  <cp:category/>
</cp:coreProperties>
</file>